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olor w:val="1A4D2E"/>
          <w:sz w:val="52"/>
          <w:szCs w:val="52"/>
        </w:rPr>
        <w:t xml:space="preserve">ReGenAmericana</w:t>
      </w:r>
    </w:p>
    <w:p>
      <w:pPr>
        <w:spacing w:after="60" w:before="0"/>
        <w:jc w:val="center"/>
      </w:pPr>
      <w:r>
        <w:rPr>
          <w:rFonts w:ascii="Arial" w:cs="Arial" w:eastAsia="Arial" w:hAnsi="Arial"/>
          <w:i/>
          <w:iCs/>
          <w:color w:val="666666"/>
          <w:sz w:val="22"/>
          <w:szCs w:val="22"/>
        </w:rPr>
        <w:t xml:space="preserve">An American Soil Company  •  Chester County, Pennsylvania</w:t>
      </w:r>
    </w:p>
    <w:p>
      <w:pPr>
        <w:spacing w:after="0" w:before="200"/>
      </w:pPr>
      <w:r>
        <w:t xml:space="preserve"/>
      </w:r>
    </w:p>
    <w:p>
      <w:pPr>
        <w:pBdr>
          <w:top w:val="single" w:color="2E7D4F" w:sz="8" w:space="6"/>
          <w:bottom w:val="single" w:color="2E7D4F" w:sz="8" w:space="6"/>
        </w:pBdr>
        <w:spacing w:after="80" w:before="0"/>
        <w:jc w:val="center"/>
      </w:pPr>
      <w:r>
        <w:rPr>
          <w:rFonts w:ascii="Arial" w:cs="Arial" w:eastAsia="Arial" w:hAnsi="Arial"/>
          <w:b/>
          <w:bCs/>
          <w:color w:val="1B3A5C"/>
          <w:sz w:val="30"/>
          <w:szCs w:val="30"/>
        </w:rPr>
        <w:t xml:space="preserve">FOUNDING PATRON OFFERING MEMORANDUM</w:t>
      </w:r>
    </w:p>
    <w:p>
      <w:pPr>
        <w:spacing w:after="0" w:before="80"/>
      </w:pPr>
      <w:r>
        <w:t xml:space="preserve"/>
      </w:r>
    </w:p>
    <w:p>
      <w:pPr>
        <w:spacing w:after="60" w:before="0"/>
        <w:jc w:val="center"/>
      </w:pPr>
      <w:r>
        <w:rPr>
          <w:rFonts w:ascii="Arial" w:cs="Arial" w:eastAsia="Arial" w:hAnsi="Arial"/>
          <w:b/>
          <w:bCs/>
          <w:color w:val="8B6914"/>
          <w:sz w:val="26"/>
          <w:szCs w:val="26"/>
        </w:rPr>
        <w:t xml:space="preserve">Founding Patron Capital Round  •  $1,750,000</w:t>
      </w:r>
    </w:p>
    <w:p>
      <w:pPr>
        <w:spacing w:after="0" w:before="80"/>
      </w:pPr>
      <w:r>
        <w:t xml:space="preserve"/>
      </w:r>
    </w:p>
    <w:p>
      <w:pPr>
        <w:spacing w:after="60" w:before="0"/>
        <w:jc w:val="center"/>
      </w:pPr>
      <w:r>
        <w:rPr>
          <w:rFonts w:ascii="Arial" w:cs="Arial" w:eastAsia="Arial" w:hAnsi="Arial"/>
          <w:i/>
          <w:iCs/>
          <w:color w:val="1A4D2E"/>
          <w:sz w:val="22"/>
          <w:szCs w:val="22"/>
        </w:rPr>
        <w:t xml:space="preserve">C-Change — Continuous Fermentation Products for Agriculture, Gardens and Turf</w:t>
      </w:r>
    </w:p>
    <w:p>
      <w:pPr>
        <w:spacing w:after="240" w:before="0"/>
        <w:jc w:val="center"/>
      </w:pPr>
      <w:r>
        <w:rPr>
          <w:rFonts w:ascii="Arial" w:cs="Arial" w:eastAsia="Arial" w:hAnsi="Arial"/>
          <w:i/>
          <w:iCs/>
          <w:color w:val="1A4D2E"/>
          <w:sz w:val="22"/>
          <w:szCs w:val="22"/>
        </w:rPr>
        <w:t xml:space="preserve">Biological Soil Amendment at Regional Scale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Offered by: ReGenAmericana, LLC</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Founder &amp; Managing Member: Jeffrey Wallin</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Chief Executive Officer: Sarah L. Snyder</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Date of this Memorandum: April 2026</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Round Type: Grant-Contingent Convertible Note  |  Founding Patron Structure</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Minimum Investment: $25,000  |  Target Raise: $1,750,000</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PA Ag Innovation Grant: $905,416 LOC — funds grant-eligible items; retired by state reimbursement. If grant is not awarded, this amount is added to the raise under the same Founding Patron terms.</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Total Project Capital: $2,655,416</w:t>
            </w:r>
          </w:p>
        </w:tc>
      </w:tr>
    </w:tbl>
    <w:p>
      <w:pPr>
        <w:spacing w:after="0" w:before="240"/>
      </w:pPr>
      <w:r>
        <w:t xml:space="preserve"/>
      </w:r>
    </w:p>
    <w:p>
      <w:pPr>
        <w:spacing w:after="0" w:before="0"/>
        <w:jc w:val="center"/>
      </w:pPr>
      <w:r>
        <w:rPr>
          <w:rFonts w:ascii="Arial" w:cs="Arial" w:eastAsia="Arial" w:hAnsi="Arial"/>
          <w:b/>
          <w:bCs/>
          <w:color w:val="8B6914"/>
          <w:sz w:val="18"/>
          <w:szCs w:val="18"/>
        </w:rPr>
        <w:t xml:space="preserve">CONFIDENTIAL — For Accredited Investors Only</w:t>
      </w:r>
    </w:p>
    <w:p>
      <w:pPr>
        <w:spacing w:after="0" w:before="60"/>
        <w:jc w:val="center"/>
      </w:pPr>
      <w:r>
        <w:rPr>
          <w:rFonts w:ascii="Arial" w:cs="Arial" w:eastAsia="Arial" w:hAnsi="Arial"/>
          <w:i/>
          <w:iCs/>
          <w:color w:val="666666"/>
          <w:sz w:val="18"/>
          <w:szCs w:val="18"/>
        </w:rPr>
        <w:t xml:space="preserve">This memorandum has not been reviewed by legal counsel and constitutes a framework document only.</w:t>
      </w:r>
    </w:p>
    <w:p>
      <w:pPr>
        <w:spacing w:after="0" w:before="40"/>
        <w:jc w:val="center"/>
      </w:pPr>
      <w:r>
        <w:rPr>
          <w:rFonts w:ascii="Arial" w:cs="Arial" w:eastAsia="Arial" w:hAnsi="Arial"/>
          <w:i/>
          <w:iCs/>
          <w:color w:val="666666"/>
          <w:sz w:val="18"/>
          <w:szCs w:val="18"/>
        </w:rPr>
        <w:t xml:space="preserve">Attorney review and securities law compliance are required prior to execution.</w:t>
      </w:r>
    </w:p>
    <w:p>
      <w:r>
        <w:br w:type="page"/>
      </w:r>
    </w:p>
    <w:p>
      <w:pPr>
        <w:pStyle w:val="Heading1"/>
        <w:pBdr>
          <w:bottom w:val="single" w:color="2E7D4F" w:sz="6" w:space="6"/>
        </w:pBdr>
        <w:spacing w:after="160" w:before="360"/>
      </w:pPr>
      <w:r>
        <w:rPr>
          <w:rFonts w:ascii="Arial" w:cs="Arial" w:eastAsia="Arial" w:hAnsi="Arial"/>
          <w:b/>
          <w:bCs/>
          <w:color w:val="1A4D2E"/>
          <w:sz w:val="28"/>
          <w:szCs w:val="28"/>
        </w:rPr>
        <w:t xml:space="preserve">I.  The Mission — Why This Exists</w:t>
      </w:r>
    </w:p>
    <w:p>
      <w:pPr>
        <w:spacing w:after="100" w:before="80"/>
        <w:jc w:val="both"/>
      </w:pPr>
      <w:r>
        <w:rPr>
          <w:rFonts w:ascii="Arial" w:cs="Arial" w:eastAsia="Arial" w:hAnsi="Arial"/>
          <w:b w:val="false"/>
          <w:bCs w:val="false"/>
          <w:i w:val="false"/>
          <w:iCs w:val="false"/>
          <w:color w:val="222222"/>
          <w:sz w:val="22"/>
          <w:szCs w:val="22"/>
        </w:rPr>
        <w:t xml:space="preserve">There is something wrong with the way we feed the land that feeds us. A century of extractive agriculture has left American soil depleted, dependent on synthetic inputs, and increasingly unable to hold water, fix nitrogen, or support the microbial life that makes a farm genuinely productive. The farmers who grow our food are caught in a tightening spiral: yields demand inputs, inputs cost money, margins disappear, and the biology that once sustained the land gets bypassed entirely.</w:t>
      </w:r>
    </w:p>
    <w:p>
      <w:pPr>
        <w:spacing w:after="0" w:before="80"/>
      </w:pPr>
      <w:r>
        <w:t xml:space="preserve"/>
      </w:r>
    </w:p>
    <w:p>
      <w:pPr>
        <w:spacing w:after="100" w:before="80"/>
        <w:jc w:val="both"/>
      </w:pPr>
      <w:r>
        <w:rPr>
          <w:rFonts w:ascii="Arial" w:cs="Arial" w:eastAsia="Arial" w:hAnsi="Arial"/>
          <w:b w:val="false"/>
          <w:bCs w:val="false"/>
          <w:i w:val="false"/>
          <w:iCs w:val="false"/>
          <w:color w:val="222222"/>
          <w:sz w:val="22"/>
          <w:szCs w:val="22"/>
        </w:rPr>
        <w:t xml:space="preserve">ReGenAmericana was founded to break that spiral — not with ideology, but with biology and economics. Peer-reviewed research published by Texas State University (Islas-Valdez et al., Agriculture 2025) confirmed that the foundational protocol behind C-Change increased total crop yield by 86% versus unamended control under challenging alkaline soil conditions. C-Change — Continuous Fermentation Products for Agriculture, Gardens and Turf — are produced using the Groundswell® protocol, a precision biological fermentation process that transforms locally sourced agricultural biomass into a soil amendment of extraordinary potency. When C-Change goes into the ground, it goes to work: rebuilding microbial communities, improving water retention, reducing synthetic nitrogen dependency, and producing measurable, documented yield improvement.</w:t>
      </w:r>
    </w:p>
    <w:p>
      <w:pPr>
        <w:spacing w:after="0" w:before="80"/>
      </w:pPr>
      <w:r>
        <w:t xml:space="preserve"/>
      </w:r>
    </w:p>
    <w:p>
      <w:pPr>
        <w:spacing w:after="100" w:before="80"/>
        <w:jc w:val="both"/>
      </w:pPr>
      <w:r>
        <w:rPr>
          <w:rFonts w:ascii="Arial" w:cs="Arial" w:eastAsia="Arial" w:hAnsi="Arial"/>
          <w:b w:val="false"/>
          <w:bCs w:val="false"/>
          <w:i w:val="false"/>
          <w:iCs w:val="false"/>
          <w:color w:val="222222"/>
          <w:sz w:val="22"/>
          <w:szCs w:val="22"/>
        </w:rPr>
        <w:t xml:space="preserve">But the mission is not just agronomic. It is economic. Today, premium biological amendments are priced out of reach for most small and mid-size farms. ReGenAmericana’s purpose is to bring the cost of biological soil health down — dramatically — through scale, supply chain integration, and operational efficiency. The Founding Patron Round exists to enable that scale.</w:t>
      </w:r>
    </w:p>
    <w:p>
      <w:pPr>
        <w:spacing w:after="0" w:before="80"/>
      </w:pPr>
      <w:r>
        <w:t xml:space="preserve"/>
      </w:r>
    </w:p>
    <w:p>
      <w:pPr>
        <w:pBdr>
          <w:left w:val="single" w:color="2E7D4F" w:sz="18" w:space="12"/>
          <w:right w:val="single" w:color="2E7D4F" w:sz="18" w:space="12"/>
        </w:pBdr>
        <w:spacing w:after="240" w:before="240"/>
        <w:ind w:left="720" w:right="720"/>
        <w:jc w:val="center"/>
      </w:pPr>
      <w:r>
        <w:rPr>
          <w:rFonts w:ascii="Arial" w:cs="Arial" w:eastAsia="Arial" w:hAnsi="Arial"/>
          <w:b/>
          <w:bCs/>
          <w:i/>
          <w:iCs/>
          <w:color w:val="1A4D2E"/>
          <w:sz w:val="24"/>
          <w:szCs w:val="24"/>
        </w:rPr>
        <w:t xml:space="preserve">We are not selling a product. We are lowering the price of soil health until every farm that needs it can afford it.</w:t>
      </w:r>
    </w:p>
    <w:p>
      <w:pPr>
        <w:spacing w:after="0" w:before="80"/>
      </w:pPr>
      <w:r>
        <w:t xml:space="preserve"/>
      </w:r>
    </w:p>
    <w:p>
      <w:pPr>
        <w:spacing w:after="100" w:before="80"/>
        <w:jc w:val="both"/>
      </w:pPr>
      <w:r>
        <w:rPr>
          <w:rFonts w:ascii="Arial" w:cs="Arial" w:eastAsia="Arial" w:hAnsi="Arial"/>
          <w:b w:val="false"/>
          <w:bCs w:val="false"/>
          <w:i w:val="false"/>
          <w:iCs w:val="false"/>
          <w:color w:val="222222"/>
          <w:sz w:val="22"/>
          <w:szCs w:val="22"/>
        </w:rPr>
        <w:t xml:space="preserve">We are headquartered in Chester County, Pennsylvania — the heart of the Kennett Square mushroom growing community, in the Brandywine and Red Clay Creek watershed, in a region where agriculture and community are inseparable. Our operation is not abstract. It is here, in this soil, serving these farms, protecting this water.</w:t>
      </w:r>
    </w:p>
    <w:p>
      <w:r>
        <w:br w:type="page"/>
      </w:r>
    </w:p>
    <w:p>
      <w:pPr>
        <w:pStyle w:val="Heading1"/>
        <w:pBdr>
          <w:bottom w:val="single" w:color="2E7D4F" w:sz="6" w:space="6"/>
        </w:pBdr>
        <w:spacing w:after="160" w:before="360"/>
      </w:pPr>
      <w:r>
        <w:rPr>
          <w:rFonts w:ascii="Arial" w:cs="Arial" w:eastAsia="Arial" w:hAnsi="Arial"/>
          <w:b/>
          <w:bCs/>
          <w:color w:val="1A4D2E"/>
          <w:sz w:val="28"/>
          <w:szCs w:val="28"/>
        </w:rPr>
        <w:t xml:space="preserve">II.  The Proof — What C-Change Has Already Done</w:t>
      </w:r>
    </w:p>
    <w:p>
      <w:pPr>
        <w:spacing w:after="100" w:before="80"/>
        <w:jc w:val="both"/>
      </w:pPr>
      <w:r>
        <w:rPr>
          <w:rFonts w:ascii="Arial" w:cs="Arial" w:eastAsia="Arial" w:hAnsi="Arial"/>
          <w:b w:val="false"/>
          <w:bCs w:val="false"/>
          <w:i w:val="false"/>
          <w:iCs w:val="false"/>
          <w:color w:val="222222"/>
          <w:sz w:val="22"/>
          <w:szCs w:val="22"/>
        </w:rPr>
        <w:t xml:space="preserve">We do not ask Founding Patrons to take our word on efficacy. Texas State University’s published research found that soil treated with the C-Change foundational protocol increased the organic N/inorganic N ratio by 2,310% — a measure of dramatically more efficient microbial nitrogen cycling and plant uptake. The results are documented, peer-reviewed, and in some cases record-setting.</w:t>
      </w:r>
    </w:p>
    <w:p>
      <w:pPr>
        <w:spacing w:after="0" w:before="120"/>
      </w:pPr>
      <w:r>
        <w:t xml:space="preserve"/>
      </w:r>
    </w:p>
    <w:p>
      <w:pPr>
        <w:pStyle w:val="Heading2"/>
        <w:spacing w:after="120" w:before="280"/>
      </w:pPr>
      <w:r>
        <w:rPr>
          <w:rFonts w:ascii="Arial" w:cs="Arial" w:eastAsia="Arial" w:hAnsi="Arial"/>
          <w:b/>
          <w:bCs/>
          <w:color w:val="1B3A5C"/>
          <w:sz w:val="24"/>
          <w:szCs w:val="24"/>
        </w:rPr>
        <w:t xml:space="preserve">Peer-Reviewed Research — Texas State University</w:t>
      </w:r>
    </w:p>
    <w:p>
      <w:pPr>
        <w:spacing w:after="100" w:before="80"/>
        <w:jc w:val="both"/>
      </w:pPr>
      <w:r>
        <w:rPr>
          <w:rFonts w:ascii="Arial" w:cs="Arial" w:eastAsia="Arial" w:hAnsi="Arial"/>
          <w:color w:val="222222"/>
          <w:sz w:val="22"/>
          <w:szCs w:val="22"/>
        </w:rPr>
        <w:t xml:space="preserve">Before reviewing field results, it is important to note that the foundational science behind C-Change has been independently validated through peer-reviewed academic research. In October 2025, researchers at the Department of Agricultural Sciences, Texas State University published a study in Agriculture (MDPI), a peer-reviewed journal, examining the effects of Humisoil® — the VRM Biologik protocol that underlies C-Change — on crop yield, fruit quality, and soil health under challenging alkaline conditions. The study (Islas-Valdez et al., Agriculture 2025, 15, 2078) was funded by the Translational Health Research Center at Texas State University.</w:t>
      </w:r>
    </w:p>
    <w:p>
      <w:pPr>
        <w:spacing w:after="100" w:before="80"/>
        <w:jc w:val="both"/>
      </w:pPr>
      <w:r>
        <w:rPr>
          <w:rFonts w:ascii="Arial" w:cs="Arial" w:eastAsia="Arial" w:hAnsi="Arial"/>
          <w:color w:val="222222"/>
          <w:sz w:val="22"/>
          <w:szCs w:val="22"/>
        </w:rPr>
        <w:t xml:space="preserve">Key published findings from the study:</w:t>
      </w:r>
    </w:p>
    <w:p>
      <w:pPr>
        <w:spacing w:after="60" w:before="60"/>
        <w:ind w:left="720" w:hanging="360"/>
      </w:pPr>
      <w:r>
        <w:rPr>
          <w:rFonts w:ascii="Arial" w:cs="Arial" w:eastAsia="Arial" w:hAnsi="Arial"/>
          <w:color w:val="1A4D2E"/>
          <w:sz w:val="22"/>
          <w:szCs w:val="22"/>
        </w:rPr>
        <w:t xml:space="preserve">•  Humisoil alone increased total zucchini yield by 86% vs. unamended control under alkaline soil conditions</w:t>
      </w:r>
    </w:p>
    <w:p>
      <w:pPr>
        <w:spacing w:after="60" w:before="60"/>
        <w:ind w:left="720" w:hanging="360"/>
      </w:pPr>
      <w:r>
        <w:rPr>
          <w:rFonts w:ascii="Arial" w:cs="Arial" w:eastAsia="Arial" w:hAnsi="Arial"/>
          <w:color w:val="1A4D2E"/>
          <w:sz w:val="22"/>
          <w:szCs w:val="22"/>
        </w:rPr>
        <w:t xml:space="preserve">•  Humisoil + biochar + basaltic rock dust increased total yield by 107% vs. unamended control</w:t>
      </w:r>
    </w:p>
    <w:p>
      <w:pPr>
        <w:spacing w:after="60" w:before="60"/>
        <w:ind w:left="720" w:hanging="360"/>
      </w:pPr>
      <w:r>
        <w:rPr>
          <w:rFonts w:ascii="Arial" w:cs="Arial" w:eastAsia="Arial" w:hAnsi="Arial"/>
          <w:color w:val="1A4D2E"/>
          <w:sz w:val="22"/>
          <w:szCs w:val="22"/>
        </w:rPr>
        <w:t xml:space="preserve">•  Mean fruit weight increased by 184% in Humisoil-treated soil vs. control</w:t>
      </w:r>
    </w:p>
    <w:p>
      <w:pPr>
        <w:spacing w:after="60" w:before="60"/>
        <w:ind w:left="720" w:hanging="360"/>
      </w:pPr>
      <w:r>
        <w:rPr>
          <w:rFonts w:ascii="Arial" w:cs="Arial" w:eastAsia="Arial" w:hAnsi="Arial"/>
          <w:color w:val="1A4D2E"/>
          <w:sz w:val="22"/>
          <w:szCs w:val="22"/>
        </w:rPr>
        <w:t xml:space="preserve">•  Fruit number per plant increased by 42% with Humisoil treatment</w:t>
      </w:r>
    </w:p>
    <w:p>
      <w:pPr>
        <w:spacing w:after="60" w:before="60"/>
        <w:ind w:left="720" w:hanging="360"/>
      </w:pPr>
      <w:r>
        <w:rPr>
          <w:rFonts w:ascii="Arial" w:cs="Arial" w:eastAsia="Arial" w:hAnsi="Arial"/>
          <w:color w:val="1A4D2E"/>
          <w:sz w:val="22"/>
          <w:szCs w:val="22"/>
        </w:rPr>
        <w:t xml:space="preserve">•  Sodium concentration in crop leaves reduced by up to 63% — directly improving quality under salt-stressed conditions</w:t>
      </w:r>
    </w:p>
    <w:p>
      <w:pPr>
        <w:spacing w:after="60" w:before="60"/>
        <w:ind w:left="720" w:hanging="360"/>
      </w:pPr>
      <w:r>
        <w:rPr>
          <w:rFonts w:ascii="Arial" w:cs="Arial" w:eastAsia="Arial" w:hAnsi="Arial"/>
          <w:color w:val="1A4D2E"/>
          <w:sz w:val="22"/>
          <w:szCs w:val="22"/>
        </w:rPr>
        <w:t xml:space="preserve">•  Organic N/inorganic N ratio increased by 2,310% in Humisoil-treated soil — indicating dramatically more efficient microbial nitrogen cycling and plant uptake efficiency</w:t>
      </w:r>
    </w:p>
    <w:p>
      <w:pPr>
        <w:spacing w:after="60" w:before="60"/>
        <w:ind w:left="720" w:hanging="360"/>
      </w:pPr>
      <w:r>
        <w:rPr>
          <w:rFonts w:ascii="Arial" w:cs="Arial" w:eastAsia="Arial" w:hAnsi="Arial"/>
          <w:color w:val="1A4D2E"/>
          <w:sz w:val="22"/>
          <w:szCs w:val="22"/>
        </w:rPr>
        <w:t xml:space="preserve">•  Soil health scores maintained above 7 (indicative of good cropland soil) even under elevated salt and alkaline stress conditions</w:t>
      </w:r>
    </w:p>
    <w:p>
      <w:pPr>
        <w:spacing w:after="100" w:before="100"/>
        <w:jc w:val="both"/>
      </w:pPr>
      <w:r>
        <w:rPr>
          <w:rFonts w:ascii="Arial" w:cs="Arial" w:eastAsia="Arial" w:hAnsi="Arial"/>
          <w:color w:val="666666"/>
          <w:sz w:val="20"/>
          <w:szCs w:val="20"/>
          <w:i/>
          <w:iCs/>
        </w:rPr>
        <w:t xml:space="preserve">Note: The study’s authors note that results should be interpreted with appropriate caution, as the study used manufactured alkaline soil in a controlled greenhouse setting and that further research in native soils is recommended. ReGenAmericana’s ongoing field trial program with Texas State University is designed to address exactly this — validating results across native soil types and real-world growing conditions. Full citation: Islas-Valdez, S. et al. Effect of Organic Amendments and Biostimulants on Zucchini Yield and Fruit Quality Under Alkaline Conditions. Agriculture 2025, 15, 2078. https://doi.org/10.3390/agriculture15192078</w:t>
      </w:r>
    </w:p>
    <w:p>
      <w:pPr>
        <w:spacing w:after="0" w:before="120"/>
      </w:pPr>
      <w:r>
        <w:t xml:space="preserve"/>
      </w:r>
    </w:p>
    <w:p>
      <w:pPr>
        <w:pStyle w:val="Heading2"/>
        <w:spacing w:after="120" w:before="280"/>
      </w:pPr>
      <w:r>
        <w:rPr>
          <w:rFonts w:ascii="Arial" w:cs="Arial" w:eastAsia="Arial" w:hAnsi="Arial"/>
          <w:b/>
          <w:bCs/>
          <w:color w:val="1B3A5C"/>
          <w:sz w:val="24"/>
          <w:szCs w:val="24"/>
        </w:rPr>
        <w:t xml:space="preserve">Field Trial Results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36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Location &amp; Crop</w:t>
            </w:r>
          </w:p>
        </w:tc>
        <w:tc>
          <w:tcPr>
            <w:tcW w:type="dxa" w:w="336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Result</w:t>
            </w:r>
          </w:p>
        </w:tc>
        <w:tc>
          <w:tcPr>
            <w:tcW w:type="dxa" w:w="24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Significance</w:t>
            </w:r>
          </w:p>
        </w:tc>
      </w:tr>
      <w:tr>
        <w:tc>
          <w:tcPr>
            <w:tcW w:type="dxa" w:w="36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Chester County, PA
Field Corn</w:t>
            </w:r>
          </w:p>
        </w:tc>
        <w:tc>
          <w:tcPr>
            <w:tcW w:type="dxa" w:w="33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239 bu/acre at 50% nitrogen reduction</w:t>
            </w:r>
          </w:p>
        </w:tc>
        <w:tc>
          <w:tcPr>
            <w:tcW w:type="dxa" w:w="24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Farm yield record</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Lancaster County, PA
Amish Tobacco</w:t>
            </w:r>
          </w:p>
        </w:tc>
        <w:tc>
          <w:tcPr>
            <w:tcW w:type="dxa" w:w="33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+417 lbs/acre yield
+27% grade shift
+$3,192/acre revenue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Documented economic impact per acre</w:t>
            </w:r>
          </w:p>
        </w:tc>
      </w:tr>
      <w:tr>
        <w:tc>
          <w:tcPr>
            <w:tcW w:type="dxa" w:w="36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Texas — Jack Nicklaus
Golf Course (Sod)</w:t>
            </w:r>
          </w:p>
        </w:tc>
        <w:tc>
          <w:tcPr>
            <w:tcW w:type="dxa" w:w="33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14-day rooting
50% irrigation reduction
10.9°F soil temp reduction</w:t>
            </w:r>
          </w:p>
        </w:tc>
        <w:tc>
          <w:tcPr>
            <w:tcW w:type="dxa" w:w="24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Premium turf application proof</w:t>
            </w:r>
          </w:p>
        </w:tc>
      </w:tr>
    </w:tbl>
    <w:p>
      <w:pPr>
        <w:spacing w:after="0" w:before="160"/>
      </w:pPr>
      <w:r>
        <w:t xml:space="preserve"/>
      </w:r>
    </w:p>
    <w:p>
      <w:pPr>
        <w:spacing w:after="100" w:before="80"/>
        <w:jc w:val="both"/>
      </w:pPr>
      <w:r>
        <w:rPr>
          <w:rFonts w:ascii="Arial" w:cs="Arial" w:eastAsia="Arial" w:hAnsi="Arial"/>
          <w:b w:val="false"/>
          <w:bCs w:val="false"/>
          <w:i w:val="false"/>
          <w:iCs w:val="false"/>
          <w:color w:val="222222"/>
          <w:sz w:val="22"/>
          <w:szCs w:val="22"/>
        </w:rPr>
        <w:t xml:space="preserve">The Texas State University peer-reviewed study found that soil treated with the C-Change protocol maintained healthy soil scores above 7 — the benchmark for good cropland — even under elevated salt and alkaline stress conditions. These are not trials on research plots. The field results above are from working farms and commercial turf operations producing commercially significant results. The Chester County corn trial alone demonstrates that C-Change can produce record yields while cutting synthetic nitrogen use in half — a finding with profound implications for both farm economics and watershed health.</w:t>
      </w:r>
    </w:p>
    <w:p>
      <w:pPr>
        <w:spacing w:after="0" w:before="120"/>
      </w:pPr>
      <w:r>
        <w:t xml:space="preserve"/>
      </w:r>
    </w:p>
    <w:p>
      <w:pPr>
        <w:pStyle w:val="Heading2"/>
        <w:spacing w:after="120" w:before="280"/>
      </w:pPr>
      <w:r>
        <w:rPr>
          <w:rFonts w:ascii="Arial" w:cs="Arial" w:eastAsia="Arial" w:hAnsi="Arial"/>
          <w:b/>
          <w:bCs/>
          <w:color w:val="1B3A5C"/>
          <w:sz w:val="24"/>
          <w:szCs w:val="24"/>
        </w:rPr>
        <w:t xml:space="preserve">Infrastructure Already in Place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200"/>
              <w:bottom w:type="dxa" w:w="60"/>
              <w:right w:type="dxa" w:w="200"/>
            </w:tcMar>
          </w:tcPr>
          <w:p>
            <w:r>
              <w:rPr>
                <w:rFonts w:ascii="Arial" w:cs="Arial" w:eastAsia="Arial" w:hAnsi="Arial"/>
                <w:b/>
                <w:bCs/>
                <w:color w:val="1B3A5C"/>
                <w:sz w:val="22"/>
                <w:szCs w:val="22"/>
              </w:rPr>
              <w:t xml:space="preserve">The Platform We Are Scaling</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4.5-acre concrete pad production facility  |  London Grove Township, Chester County</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M-shaped windrow pile system  |  Open-air, wind-optimized fermentation</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Closed-loop leachate recovery system  |  Zero discharge, environmental compliance</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Three-phase electrical service installed  |  Ready for automated system integration</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157 acres of adjacent expansion land available</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Agricultural biomass supply contracts covering up to 400,000 CY annually</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Nutra-Soils, Inc. partnership  |  Substrate supply, facilities, machinery, labor</w:t>
            </w:r>
          </w:p>
        </w:tc>
      </w:tr>
    </w:tbl>
    <w:p>
      <w:pPr>
        <w:spacing w:after="0" w:before="120"/>
      </w:pPr>
      <w:r>
        <w:t xml:space="preserve"/>
      </w:r>
    </w:p>
    <w:p>
      <w:pPr>
        <w:pStyle w:val="Heading2"/>
        <w:spacing w:after="120" w:before="280"/>
      </w:pPr>
      <w:r>
        <w:rPr>
          <w:rFonts w:ascii="Arial" w:cs="Arial" w:eastAsia="Arial" w:hAnsi="Arial"/>
          <w:b/>
          <w:bCs/>
          <w:color w:val="1B3A5C"/>
          <w:sz w:val="24"/>
          <w:szCs w:val="24"/>
        </w:rPr>
        <w:t xml:space="preserve">The Pennsylvania Agriculture Innovation Grant</w:t>
      </w:r>
    </w:p>
    <w:p>
      <w:pPr>
        <w:spacing w:after="100" w:before="80"/>
        <w:jc w:val="both"/>
      </w:pPr>
      <w:r>
        <w:rPr>
          <w:rFonts w:ascii="Arial" w:cs="Arial" w:eastAsia="Arial" w:hAnsi="Arial"/>
          <w:b w:val="false"/>
          <w:bCs w:val="false"/>
          <w:i w:val="false"/>
          <w:iCs w:val="false"/>
          <w:color w:val="222222"/>
          <w:sz w:val="22"/>
          <w:szCs w:val="22"/>
        </w:rPr>
        <w:t xml:space="preserve">In April 2026, ReGenAmericana submitted a Regional Impact Project Grant application to the Pennsylvania Department of Agriculture with a total project budget of $905,416 — comprising $407,990 in equipment and $497,426 in contractual costs. The application covers three phases of validated scale-up, including Texas State University collaboration and peer-reviewable field trial outputs. The grant is reimbursement-based: project expenditures are funded first, then reimbursed by the state upon verified milestone completion. Important: if the grant is not awarded, the full $905,416 will be raised from investors under the same Founding Patron terms as the primary $1,750,000 raise, bringing the total raise to $2,655,416.</w:t>
      </w:r>
    </w:p>
    <w:p>
      <w:pPr>
        <w:spacing w:after="0" w:before="60"/>
      </w:pPr>
      <w:r>
        <w:t xml:space="preserve"/>
      </w:r>
    </w:p>
    <w:p>
      <w:pPr>
        <w:spacing w:after="100" w:before="80"/>
        <w:jc w:val="both"/>
      </w:pPr>
      <w:r>
        <w:rPr>
          <w:rFonts w:ascii="Arial" w:cs="Arial" w:eastAsia="Arial" w:hAnsi="Arial"/>
          <w:b w:val="false"/>
          <w:bCs w:val="false"/>
          <w:i w:val="false"/>
          <w:iCs w:val="false"/>
          <w:color w:val="222222"/>
          <w:sz w:val="22"/>
          <w:szCs w:val="22"/>
        </w:rPr>
        <w:t xml:space="preserve">To fund the grant-eligible expenditures upfront, ReGenAmericana will draw a $905,416 line of credit strictly dedicated to grant-scope items — equipment and contractual costs as approved in the application. As each milestone is verified, the state reimburses directly against the LOC, retiring it. The LOC is entirely self-liquidating. Investor capital does not fund grant-scope items. However, if the grant is not awarded, the $905,416 LOC will not be available and the full amount will instead be raised from investors under the identical Founding Patron terms governing the primary $1,750,000 raise — resulting in a total raise of $2,655,416.</w:t>
      </w:r>
    </w:p>
    <w:p>
      <w:pPr>
        <w:spacing w:after="0" w:before="60"/>
      </w:pPr>
      <w:r>
        <w:t xml:space="preserve"/>
      </w:r>
    </w:p>
    <w:p>
      <w:pPr>
        <w:spacing w:after="100" w:before="80"/>
        <w:jc w:val="both"/>
      </w:pPr>
      <w:r>
        <w:rPr>
          <w:rFonts w:ascii="Arial" w:cs="Arial" w:eastAsia="Arial" w:hAnsi="Arial"/>
          <w:b w:val="false"/>
          <w:bCs w:val="false"/>
          <w:i w:val="false"/>
          <w:iCs w:val="false"/>
          <w:color w:val="222222"/>
          <w:sz w:val="22"/>
          <w:szCs w:val="22"/>
        </w:rPr>
        <w:t xml:space="preserve">The Founding Patron Round provides the separate 50% cash match required by the grant ($452,708), plus full two-year operational runway for personnel, working capital, the Americana Victory Gardens Fund launch, and legal costs. Three distinct capital layers — LOC, grant reimbursement, and investor capital — each with a defined and non-overlapping purpose. If the grant is not awarded, the LOC layer is replaced by an additional investor raise of $905,416 under the same Founding Patron terms, and the total raise increases to $2,655,416. The project executes either way.</w:t>
      </w:r>
    </w:p>
    <w:p>
      <w:r>
        <w:br w:type="page"/>
      </w:r>
    </w:p>
    <w:p>
      <w:pPr>
        <w:pStyle w:val="Heading1"/>
        <w:pBdr>
          <w:bottom w:val="single" w:color="2E7D4F" w:sz="6" w:space="6"/>
        </w:pBdr>
        <w:spacing w:after="160" w:before="360"/>
      </w:pPr>
      <w:r>
        <w:rPr>
          <w:rFonts w:ascii="Arial" w:cs="Arial" w:eastAsia="Arial" w:hAnsi="Arial"/>
          <w:b/>
          <w:bCs/>
          <w:color w:val="1A4D2E"/>
          <w:sz w:val="28"/>
          <w:szCs w:val="28"/>
        </w:rPr>
        <w:t xml:space="preserve">III.  The Economics — Why This Works Financially</w:t>
      </w:r>
    </w:p>
    <w:p>
      <w:pPr>
        <w:pStyle w:val="Heading2"/>
        <w:spacing w:after="120" w:before="280"/>
      </w:pPr>
      <w:r>
        <w:rPr>
          <w:rFonts w:ascii="Arial" w:cs="Arial" w:eastAsia="Arial" w:hAnsi="Arial"/>
          <w:b/>
          <w:bCs/>
          <w:color w:val="1B3A5C"/>
          <w:sz w:val="24"/>
          <w:szCs w:val="24"/>
        </w:rPr>
        <w:t xml:space="preserve">Unit Economics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dxa" w:w="54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Metric</w:t>
            </w:r>
          </w:p>
        </w:tc>
        <w:tc>
          <w:tcPr>
            <w:tcW w:type="dxa" w:w="396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Figure</w:t>
            </w:r>
          </w:p>
        </w:tc>
      </w:tr>
      <w:tr>
        <w:tc>
          <w:tcPr>
            <w:tcW w:type="dxa" w:w="54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Production cost (Groundswell® protocol)</w:t>
            </w:r>
          </w:p>
        </w:tc>
        <w:tc>
          <w:tcPr>
            <w:tcW w:type="dxa" w:w="39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~$6.26 per cubic yard</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Current retail price (C-Change)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$175 per cubic yard</w:t>
            </w:r>
          </w:p>
        </w:tc>
      </w:tr>
      <w:tr>
        <w:tc>
          <w:tcPr>
            <w:tcW w:type="dxa" w:w="54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Gross margin per CY</w:t>
            </w:r>
          </w:p>
        </w:tc>
        <w:tc>
          <w:tcPr>
            <w:tcW w:type="dxa" w:w="39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~$168.74 (96.4%)</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Annual supply contract capacity</w:t>
            </w:r>
          </w:p>
        </w:tc>
        <w:tc>
          <w:tcPr>
            <w:tcW w:type="dxa" w:w="39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Up to 400,000 CY</w:t>
            </w:r>
          </w:p>
        </w:tc>
      </w:tr>
      <w:tr>
        <w:tc>
          <w:tcPr>
            <w:tcW w:type="dxa" w:w="54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Revenue potential at full capacity</w:t>
            </w:r>
          </w:p>
        </w:tc>
        <w:tc>
          <w:tcPr>
            <w:tcW w:type="dxa" w:w="39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$70,000,000+</w:t>
            </w:r>
          </w:p>
        </w:tc>
      </w:tr>
    </w:tbl>
    <w:p>
      <w:pPr>
        <w:spacing w:after="0" w:before="120"/>
      </w:pPr>
      <w:r>
        <w:t xml:space="preserve"/>
      </w:r>
    </w:p>
    <w:p>
      <w:pPr>
        <w:spacing w:after="100" w:before="80"/>
        <w:jc w:val="both"/>
      </w:pPr>
      <w:r>
        <w:rPr>
          <w:rFonts w:ascii="Arial" w:cs="Arial" w:eastAsia="Arial" w:hAnsi="Arial"/>
          <w:b w:val="false"/>
          <w:bCs w:val="false"/>
          <w:i w:val="false"/>
          <w:iCs w:val="false"/>
          <w:color w:val="222222"/>
          <w:sz w:val="22"/>
          <w:szCs w:val="22"/>
        </w:rPr>
        <w:t xml:space="preserve">The unit economics of C-Change are exceptional. Texas State University’s published research found that the C-Change foundational protocol increased mean fruit weight by 184% versus unamended control — a direct measure of the productivity and commercial value the biology delivers to the grower. At $175/CY retail against a fully-loaded production cost of $18.46/CY — including labor, inputs, and overhead — the gross margin of 89.5% leaves extraordinary room for scale, price relief, and mission investment. Thirteen percent of net profits are permanently designated to mission — five percent to the C-Change Mission Fund (expanding farm access, first witness trials, product donations) and eight percent to the Americana Victory Gardens Fund (garden installations, farm acres, community programs). Mission scales exactly as the business does.</w:t>
      </w:r>
    </w:p>
    <w:p>
      <w:pPr>
        <w:spacing w:after="0" w:before="120"/>
      </w:pPr>
      <w:r>
        <w:t xml:space="preserve"/>
      </w:r>
    </w:p>
    <w:p>
      <w:pPr>
        <w:pStyle w:val="Heading2"/>
        <w:spacing w:after="120" w:before="280"/>
      </w:pPr>
      <w:r>
        <w:rPr>
          <w:rFonts w:ascii="Arial" w:cs="Arial" w:eastAsia="Arial" w:hAnsi="Arial"/>
          <w:b/>
          <w:bCs/>
          <w:color w:val="1B3A5C"/>
          <w:sz w:val="24"/>
          <w:szCs w:val="24"/>
        </w:rPr>
        <w:t xml:space="preserve">Royalty Projection — Investor Return Illustration</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25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Annual CY Sold</w:t>
            </w:r>
          </w:p>
        </w:tc>
        <w:tc>
          <w:tcPr>
            <w:tcW w:type="dxa" w:w="236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Annual Revenue</w:t>
            </w:r>
          </w:p>
        </w:tc>
        <w:tc>
          <w:tcPr>
            <w:tcW w:type="dxa" w:w="225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2.5% Royalty Pool
(Path A)</w:t>
            </w:r>
          </w:p>
        </w:tc>
        <w:tc>
          <w:tcPr>
            <w:tcW w:type="dxa" w:w="225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3.5% Royalty Pool
(Path B — Grant)</w:t>
            </w:r>
          </w:p>
        </w:tc>
      </w:tr>
      <w:tr>
        <w:tc>
          <w:tcPr>
            <w:tcW w:type="dxa" w:w="25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5,000 CY</w:t>
            </w:r>
          </w:p>
        </w:tc>
        <w:tc>
          <w:tcPr>
            <w:tcW w:type="dxa" w:w="23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$875,000</w:t>
            </w:r>
          </w:p>
        </w:tc>
        <w:tc>
          <w:tcPr>
            <w:tcW w:type="dxa" w:w="225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$21,875</w:t>
            </w:r>
          </w:p>
        </w:tc>
        <w:tc>
          <w:tcPr>
            <w:tcW w:type="dxa" w:w="225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$30,625</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15,000 CY</w:t>
            </w:r>
          </w:p>
        </w:tc>
        <w:tc>
          <w:tcPr>
            <w:tcW w:type="dxa" w:w="23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$2,625,000</w:t>
            </w:r>
          </w:p>
        </w:tc>
        <w:tc>
          <w:tcPr>
            <w:tcW w:type="dxa" w:w="225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$65,625</w:t>
            </w:r>
          </w:p>
        </w:tc>
        <w:tc>
          <w:tcPr>
            <w:tcW w:type="dxa" w:w="225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$91,875</w:t>
            </w:r>
          </w:p>
        </w:tc>
      </w:tr>
      <w:tr>
        <w:tc>
          <w:tcPr>
            <w:tcW w:type="dxa" w:w="25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30,000 CY</w:t>
            </w:r>
          </w:p>
        </w:tc>
        <w:tc>
          <w:tcPr>
            <w:tcW w:type="dxa" w:w="23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$5,250,000</w:t>
            </w:r>
          </w:p>
        </w:tc>
        <w:tc>
          <w:tcPr>
            <w:tcW w:type="dxa" w:w="225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$131,250</w:t>
            </w:r>
          </w:p>
        </w:tc>
        <w:tc>
          <w:tcPr>
            <w:tcW w:type="dxa" w:w="225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$183,750</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50,000 CY</w:t>
            </w:r>
          </w:p>
        </w:tc>
        <w:tc>
          <w:tcPr>
            <w:tcW w:type="dxa" w:w="23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$8,750,000</w:t>
            </w:r>
          </w:p>
        </w:tc>
        <w:tc>
          <w:tcPr>
            <w:tcW w:type="dxa" w:w="225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$218,750</w:t>
            </w:r>
          </w:p>
        </w:tc>
        <w:tc>
          <w:tcPr>
            <w:tcW w:type="dxa" w:w="225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$306,250</w:t>
            </w:r>
          </w:p>
        </w:tc>
      </w:tr>
    </w:tbl>
    <w:p>
      <w:pPr>
        <w:spacing w:after="0" w:before="100"/>
      </w:pPr>
      <w:r>
        <w:t xml:space="preserve"/>
      </w:r>
    </w:p>
    <w:p>
      <w:pPr>
        <w:spacing w:after="100" w:before="80"/>
        <w:jc w:val="both"/>
      </w:pPr>
      <w:r>
        <w:rPr>
          <w:rFonts w:ascii="Arial" w:cs="Arial" w:eastAsia="Arial" w:hAnsi="Arial"/>
          <w:b w:val="false"/>
          <w:bCs w:val="false"/>
          <w:i/>
          <w:iCs/>
          <w:color w:val="666666"/>
          <w:sz w:val="22"/>
          <w:szCs w:val="22"/>
        </w:rPr>
        <w:t xml:space="preserve">Royalty pools are shared pro-rata among all Founding Patrons by investment size. Caps apply: 2.5× return on Path A, 3.5× on Path B. Royalties sunset automatically upon cap being reached.</w:t>
      </w:r>
    </w:p>
    <w:p>
      <w:pPr>
        <w:spacing w:after="0" w:before="120"/>
      </w:pPr>
      <w:r>
        <w:t xml:space="preserve"/>
      </w:r>
    </w:p>
    <w:p>
      <w:pPr>
        <w:pStyle w:val="Heading2"/>
        <w:spacing w:after="120" w:before="280"/>
      </w:pPr>
      <w:r>
        <w:rPr>
          <w:rFonts w:ascii="Arial" w:cs="Arial" w:eastAsia="Arial" w:hAnsi="Arial"/>
          <w:b/>
          <w:bCs/>
          <w:color w:val="1B3A5C"/>
          <w:sz w:val="24"/>
          <w:szCs w:val="24"/>
        </w:rPr>
        <w:t xml:space="preserve">Use of Proceeds — Founding Patron Raise ($1,750,000)</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dxa" w:w="63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Line Item</w:t>
            </w:r>
          </w:p>
        </w:tc>
        <w:tc>
          <w:tcPr>
            <w:tcW w:type="dxa" w:w="306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Amount</w:t>
            </w:r>
          </w:p>
        </w:tc>
      </w:tr>
      <w:tr>
        <w:tc>
          <w:tcPr>
            <w:tcW w:type="dxa" w:w="63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50% Cash Match to PA Ag Innovation Grant</w:t>
            </w:r>
          </w:p>
        </w:tc>
        <w:tc>
          <w:tcPr>
            <w:tcW w:type="dxa" w:w="30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$452,708</w:t>
            </w:r>
          </w:p>
        </w:tc>
      </w:tr>
      <w:tr>
        <w:tc>
          <w:tcPr>
            <w:tcW w:type="dxa" w:w="63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Personnel — Jeffrey Wallin (2 years @ $150,000/yr)</w:t>
            </w:r>
          </w:p>
        </w:tc>
        <w:tc>
          <w:tcPr>
            <w:tcW w:type="dxa" w:w="30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$300,000</w:t>
            </w:r>
          </w:p>
        </w:tc>
      </w:tr>
      <w:tr>
        <w:tc>
          <w:tcPr>
            <w:tcW w:type="dxa" w:w="63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Personnel — Sarah L. Snyder, CEO (2 years @ $150,000/yr)</w:t>
            </w:r>
          </w:p>
        </w:tc>
        <w:tc>
          <w:tcPr>
            <w:tcW w:type="dxa" w:w="30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$300,000</w:t>
            </w:r>
          </w:p>
        </w:tc>
      </w:tr>
      <w:tr>
        <w:tc>
          <w:tcPr>
            <w:tcW w:type="dxa" w:w="63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Working Capital / Operating Buffer (6 months)</w:t>
            </w:r>
          </w:p>
        </w:tc>
        <w:tc>
          <w:tcPr>
            <w:tcW w:type="dxa" w:w="30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$300,000</w:t>
            </w:r>
          </w:p>
        </w:tc>
      </w:tr>
      <w:tr>
        <w:tc>
          <w:tcPr>
            <w:tcW w:type="dxa" w:w="63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Americana Victory Gardens Fund — Launch &amp; Initial Operating Budget</w:t>
            </w:r>
          </w:p>
        </w:tc>
        <w:tc>
          <w:tcPr>
            <w:tcW w:type="dxa" w:w="30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$150,000</w:t>
            </w:r>
          </w:p>
        </w:tc>
      </w:tr>
      <w:tr>
        <w:tc>
          <w:tcPr>
            <w:tcW w:type="dxa" w:w="63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Legal, Compliance &amp; Offering Documentation</w:t>
            </w:r>
          </w:p>
        </w:tc>
        <w:tc>
          <w:tcPr>
            <w:tcW w:type="dxa" w:w="30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$75,000</w:t>
            </w:r>
          </w:p>
        </w:tc>
      </w:tr>
      <w:tr>
        <w:tc>
          <w:tcPr>
            <w:tcW w:type="dxa" w:w="63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Contingency (5%)</w:t>
            </w:r>
          </w:p>
        </w:tc>
        <w:tc>
          <w:tcPr>
            <w:tcW w:type="dxa" w:w="30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$78,885</w:t>
            </w:r>
          </w:p>
        </w:tc>
      </w:tr>
      <w:tr>
        <w:tc>
          <w:tcPr>
            <w:tcW w:type="dxa" w:w="63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Additional Buffer</w:t>
            </w:r>
          </w:p>
        </w:tc>
        <w:tc>
          <w:tcPr>
            <w:tcW w:type="dxa" w:w="30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$93,407</w:t>
            </w:r>
          </w:p>
        </w:tc>
      </w:tr>
      <w:tr>
        <w:tc>
          <w:tcPr>
            <w:tcW w:type="dxa" w:w="63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TOTAL RAISE</w:t>
            </w:r>
          </w:p>
        </w:tc>
        <w:tc>
          <w:tcPr>
            <w:tcW w:type="dxa" w:w="30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$1,750,000</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200"/>
              <w:bottom w:type="dxa" w:w="60"/>
              <w:right w:type="dxa" w:w="200"/>
            </w:tcMar>
          </w:tcPr>
          <w:p>
            <w:r>
              <w:rPr>
                <w:rFonts w:ascii="Arial" w:cs="Arial" w:eastAsia="Arial" w:hAnsi="Arial"/>
                <w:b/>
                <w:bCs/>
                <w:color w:val="1B3A5C"/>
                <w:sz w:val="22"/>
                <w:szCs w:val="22"/>
              </w:rPr>
              <w:t xml:space="preserve">Grant-Eligible Expenditures — Funded Separately via LOC</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Equipment (automated catalyst system, instrumentation, infrastructure): $407,990</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Contractual (Texas State University, field trials, technical services): $497,426</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Total LOC Draw: $905,416  —  retired by grant reimbursement upon milestone verification. If grant is not awarded, this amount is raised from investors under the same Founding Patron terms (total raise becomes $2,655,416).</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Note: These items are NOT funded by investor capital.</w:t>
            </w:r>
          </w:p>
        </w:tc>
      </w:tr>
    </w:tbl>
    <w:p>
      <w:pPr>
        <w:spacing w:after="0" w:before="120"/>
      </w:pPr>
      <w:r>
        <w:t xml:space="preserve"/>
      </w:r>
    </w:p>
    <w:p>
      <w:pPr>
        <w:pStyle w:val="Heading2"/>
        <w:spacing w:after="120" w:before="280"/>
      </w:pPr>
      <w:r>
        <w:rPr>
          <w:rFonts w:ascii="Arial" w:cs="Arial" w:eastAsia="Arial" w:hAnsi="Arial"/>
          <w:b/>
          <w:bCs/>
          <w:color w:val="1B3A5C"/>
          <w:sz w:val="24"/>
          <w:szCs w:val="24"/>
        </w:rPr>
        <w:t xml:space="preserve">Total Project Capital Structure</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22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Capital Layer</w:t>
            </w:r>
          </w:p>
        </w:tc>
        <w:tc>
          <w:tcPr>
            <w:tcW w:type="dxa" w:w="18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Amount</w:t>
            </w:r>
          </w:p>
        </w:tc>
        <w:tc>
          <w:tcPr>
            <w:tcW w:type="dxa" w:w="316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Purpose</w:t>
            </w:r>
          </w:p>
        </w:tc>
        <w:tc>
          <w:tcPr>
            <w:tcW w:type="dxa" w:w="22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Retired By</w:t>
            </w:r>
          </w:p>
        </w:tc>
      </w:tr>
      <w:tr>
        <w:tc>
          <w:tcPr>
            <w:tcW w:type="dxa" w:w="22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Line of Credit (LOC)</w:t>
            </w:r>
          </w:p>
        </w:tc>
        <w:tc>
          <w:tcPr>
            <w:tcW w:type="dxa" w:w="18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$905,416</w:t>
            </w:r>
          </w:p>
        </w:tc>
        <w:tc>
          <w:tcPr>
            <w:tcW w:type="dxa" w:w="31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Funds grant-eligible expenditures upfront — equipment &amp; contractual</w:t>
            </w:r>
          </w:p>
        </w:tc>
        <w:tc>
          <w:tcPr>
            <w:tcW w:type="dxa" w:w="22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Grant reimbursement upon milestone verification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Founding Patron Round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$1,750,000</w:t>
            </w:r>
          </w:p>
        </w:tc>
        <w:tc>
          <w:tcPr>
            <w:tcW w:type="dxa" w:w="31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50% cash match + salaries + operations + AVGF launch + legal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Revenue — royalties &amp; distributions</w:t>
            </w:r>
          </w:p>
        </w:tc>
      </w:tr>
      <w:tr>
        <w:tc>
          <w:tcPr>
            <w:tcW w:type="dxa" w:w="22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Total Project Capital</w:t>
            </w:r>
          </w:p>
        </w:tc>
        <w:tc>
          <w:tcPr>
            <w:tcW w:type="dxa" w:w="18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$2,655,416</w:t>
            </w:r>
          </w:p>
        </w:tc>
        <w:tc>
          <w:tcPr>
            <w:tcW w:type="dxa" w:w="31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Full project coverage</w:t>
            </w:r>
          </w:p>
        </w:tc>
        <w:tc>
          <w:tcPr>
            <w:tcW w:type="dxa" w:w="22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
            </w:r>
          </w:p>
        </w:tc>
      </w:tr>
    </w:tbl>
    <w:p>
      <w:pPr>
        <w:spacing w:after="0" w:before="100"/>
      </w:pPr>
      <w:r>
        <w:t xml:space="preserve"/>
      </w:r>
    </w:p>
    <w:p>
      <w:pPr>
        <w:spacing w:after="100" w:before="80"/>
        <w:jc w:val="both"/>
      </w:pPr>
      <w:r>
        <w:rPr>
          <w:rFonts w:ascii="Arial" w:cs="Arial" w:eastAsia="Arial" w:hAnsi="Arial"/>
          <w:b w:val="false"/>
          <w:bCs w:val="false"/>
          <w:i/>
          <w:iCs/>
          <w:color w:val="666666"/>
          <w:sz w:val="22"/>
          <w:szCs w:val="22"/>
        </w:rPr>
        <w:t xml:space="preserve">Investor capital never touches grant-scope line items. The LOC funds the project; the grant retires the LOC; the raise funds the team and operations. Three layers, three purposes, zero overlap. If the grant is not awarded, the $905,416 is raised from investors under identical Founding Patron terms, bringing the total raise to $2,655,416.</w:t>
      </w:r>
    </w:p>
    <w:p>
      <w:r>
        <w:br w:type="page"/>
      </w:r>
    </w:p>
    <w:p>
      <w:pPr>
        <w:pStyle w:val="Heading1"/>
        <w:pBdr>
          <w:bottom w:val="single" w:color="2E7D4F" w:sz="6" w:space="6"/>
        </w:pBdr>
        <w:spacing w:after="160" w:before="360"/>
      </w:pPr>
      <w:r>
        <w:rPr>
          <w:rFonts w:ascii="Arial" w:cs="Arial" w:eastAsia="Arial" w:hAnsi="Arial"/>
          <w:b/>
          <w:bCs/>
          <w:color w:val="1A4D2E"/>
          <w:sz w:val="28"/>
          <w:szCs w:val="28"/>
        </w:rPr>
        <w:t xml:space="preserve">IV.  The Founding Patron Offer — Two Classes, One Mission</w:t>
      </w:r>
    </w:p>
    <w:p>
      <w:pPr>
        <w:spacing w:after="100" w:before="80"/>
        <w:jc w:val="both"/>
      </w:pPr>
      <w:r>
        <w:rPr>
          <w:rFonts w:ascii="Arial" w:cs="Arial" w:eastAsia="Arial" w:hAnsi="Arial"/>
          <w:b w:val="false"/>
          <w:bCs w:val="false"/>
          <w:i w:val="false"/>
          <w:iCs w:val="false"/>
          <w:color w:val="222222"/>
          <w:sz w:val="22"/>
          <w:szCs w:val="22"/>
        </w:rPr>
        <w:t xml:space="preserve">This round offers two distinct instruments, designed for two types of Founding Patron. Class A delivers capped revenue participation — a royalty on sales that rewards early risk with defined, predictable returns. Class B delivers direct equity membership in ReGenAmericana, LLC — straight ownership alongside the Founder, uncapped, with full participation in the company’s long-term value. Investors may choose one or split their commitment between both. Both carry the full Founding Patron recognition package.</w:t>
      </w:r>
    </w:p>
    <w:p>
      <w:pPr>
        <w:spacing w:after="0" w:before="120"/>
      </w:pPr>
      <w:r>
        <w:t xml:space="preserve"/>
      </w:r>
    </w:p>
    <w:p>
      <w:pPr>
        <w:pStyle w:val="Heading2"/>
        <w:spacing w:after="120" w:before="280"/>
      </w:pPr>
      <w:r>
        <w:rPr>
          <w:rFonts w:ascii="Arial" w:cs="Arial" w:eastAsia="Arial" w:hAnsi="Arial"/>
          <w:b/>
          <w:bCs/>
          <w:color w:val="1B3A5C"/>
          <w:sz w:val="24"/>
          <w:szCs w:val="24"/>
        </w:rPr>
        <w:t xml:space="preserve">Two Classes. One Mission. You Choose.</w:t>
      </w:r>
    </w:p>
    <w:p>
      <w:pPr>
        <w:spacing w:after="100" w:before="80"/>
        <w:jc w:val="both"/>
      </w:pPr>
      <w:r>
        <w:rPr>
          <w:rFonts w:ascii="Arial" w:cs="Arial" w:eastAsia="Arial" w:hAnsi="Arial"/>
          <w:b w:val="false"/>
          <w:bCs w:val="false"/>
          <w:i w:val="false"/>
          <w:iCs w:val="false"/>
          <w:color w:val="222222"/>
          <w:sz w:val="22"/>
          <w:szCs w:val="22"/>
        </w:rPr>
        <w:t xml:space="preserve">Founding Patrons select the instrument that fits their goals. Class A offers capped revenue participation — current income potential without ownership. Class B offers direct equity membership in ReGenAmericana, LLC — uncapped upside, straight alongside the Founder. Both carry Founding Patron recognition. Both fund the same mission.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26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
            </w:r>
          </w:p>
        </w:tc>
        <w:tc>
          <w:tcPr>
            <w:tcW w:type="dxa" w:w="338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CLASS A
Royalty Certificate</w:t>
            </w:r>
          </w:p>
        </w:tc>
        <w:tc>
          <w:tcPr>
            <w:tcW w:type="dxa" w:w="338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CLASS B
Equity Membership</w:t>
            </w:r>
          </w:p>
        </w:tc>
      </w:tr>
      <w:tr>
        <w:tc>
          <w:tcPr>
            <w:tcW w:type="dxa" w:w="26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Instrument</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Revenue Participation Certificate</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Membership Interest in ReGenAmericana, LLC</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Return Structure</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2.5% of net revenue (pro-rata)</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Pro-rata share of distributions &amp; value</w:t>
            </w:r>
          </w:p>
        </w:tc>
      </w:tr>
      <w:tr>
        <w:tc>
          <w:tcPr>
            <w:tcW w:type="dxa" w:w="26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Return Cap</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2.5× investment (sunsets)</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No cap — full upside participation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Valuation Basis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N/A — royalty on revenue</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$6,000,000 pre-money</w:t>
            </w:r>
          </w:p>
        </w:tc>
      </w:tr>
      <w:tr>
        <w:tc>
          <w:tcPr>
            <w:tcW w:type="dxa" w:w="26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Ownership</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None</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Pro-rata % of company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Voting Rights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None</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None (non-voting membership)</w:t>
            </w:r>
          </w:p>
        </w:tc>
      </w:tr>
      <w:tr>
        <w:tc>
          <w:tcPr>
            <w:tcW w:type="dxa" w:w="26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Grant Path Upgrade</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Royalty rises to 3.5%, cap to 3.5×</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No change — equity already held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Founding Patron Status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Yes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Yes</w:t>
            </w:r>
          </w:p>
        </w:tc>
      </w:tr>
      <w:tr>
        <w:tc>
          <w:tcPr>
            <w:tcW w:type="dxa" w:w="26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Annual Impact Letter</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Yes</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Yes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Future Raise Priority</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10% discount</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10% discount</w:t>
            </w:r>
          </w:p>
        </w:tc>
      </w:tr>
      <w:tr>
        <w:tc>
          <w:tcPr>
            <w:tcW w:type="dxa" w:w="26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Field Day Invitation</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Yes</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Yes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April 2027 Valuation True-Up</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N/A</w:t>
            </w:r>
          </w:p>
        </w:tc>
        <w:tc>
          <w:tcPr>
            <w:tcW w:type="dxa" w:w="3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Yes — equity adjusted upward if valuation &lt; $6M</w:t>
            </w:r>
          </w:p>
        </w:tc>
      </w:tr>
      <w:tr>
        <w:tc>
          <w:tcPr>
            <w:tcW w:type="dxa" w:w="26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Best For</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Income participation, mission alignment, defined return horizon</w:t>
            </w:r>
          </w:p>
        </w:tc>
        <w:tc>
          <w:tcPr>
            <w:tcW w:type="dxa" w:w="3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Long-term ownership, full upside, company builders</w:t>
            </w:r>
          </w:p>
        </w:tc>
      </w:tr>
    </w:tbl>
    <w:p>
      <w:pPr>
        <w:spacing w:after="0" w:before="100"/>
      </w:pPr>
      <w:r>
        <w:t xml:space="preserve"/>
      </w:r>
    </w:p>
    <w:p>
      <w:pPr>
        <w:spacing w:after="100" w:before="80"/>
        <w:jc w:val="both"/>
      </w:pPr>
      <w:r>
        <w:rPr>
          <w:rFonts w:ascii="Arial" w:cs="Arial" w:eastAsia="Arial" w:hAnsi="Arial"/>
          <w:b w:val="false"/>
          <w:bCs w:val="false"/>
          <w:i/>
          <w:iCs/>
          <w:color w:val="666666"/>
          <w:sz w:val="22"/>
          <w:szCs w:val="22"/>
        </w:rPr>
        <w:t xml:space="preserve">Investors may split their commitment between Class A and Class B at their election. Minimum investment $25,000 per class.</w:t>
      </w:r>
    </w:p>
    <w:p>
      <w:pPr>
        <w:spacing w:after="0" w:before="120"/>
      </w:pPr>
      <w:r>
        <w:t xml:space="preserve"/>
      </w:r>
    </w:p>
    <w:p>
      <w:pPr>
        <w:pStyle w:val="Heading2"/>
        <w:spacing w:after="120" w:before="280"/>
      </w:pPr>
      <w:r>
        <w:rPr>
          <w:rFonts w:ascii="Arial" w:cs="Arial" w:eastAsia="Arial" w:hAnsi="Arial"/>
          <w:b/>
          <w:bCs/>
          <w:color w:val="1B3A5C"/>
          <w:sz w:val="24"/>
          <w:szCs w:val="24"/>
        </w:rPr>
        <w:t xml:space="preserve">Class A — Royalty Certificate Detail</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200"/>
              <w:bottom w:type="dxa" w:w="60"/>
              <w:right w:type="dxa" w:w="200"/>
            </w:tcMar>
          </w:tcPr>
          <w:p>
            <w:r>
              <w:rPr>
                <w:rFonts w:ascii="Arial" w:cs="Arial" w:eastAsia="Arial" w:hAnsi="Arial"/>
                <w:b/>
                <w:bCs/>
                <w:color w:val="1B3A5C"/>
                <w:sz w:val="22"/>
                <w:szCs w:val="22"/>
              </w:rPr>
              <w:t xml:space="preserve">CLASS A — Founding Patron Royalty Certificate</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Instrument: Grant-Contingent Convertible Note → Revenue Participation Certificate</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Royalty: 2.5% of net C-Change sales, shared pro-rata among all Class A holders</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Return cap: 2.5× original investment  |  Sunsets automatically upon cap being reached</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No equity, no voting rights, no management involvement during term</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If Grant Received — Path B Upgrade (investor elects):</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  — No capital returned; grant reimburses LOC, strengthening company balance sheet. If grant is not awarded, LOC is replaced by additional investor raise under same terms.</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  — Royalty rises to 3.5% of net revenue</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  — Cap rises to 3.5× original investment</w:t>
            </w:r>
          </w:p>
        </w:tc>
      </w:tr>
      <w:tr>
        <w:tc>
          <w:tcPr>
            <w:tcW w:type="dxa" w:w="9360"/>
            <w:tcBorders>
              <w:top w:val="none" w:color="FFFFFF" w:sz="0"/>
              <w:left w:val="none" w:color="FFFFFF" w:sz="0"/>
              <w:bottom w:val="none" w:color="FFFFFF" w:sz="0"/>
              <w:right w:val="none" w:color="FFFFFF" w:sz="0"/>
            </w:tcBorders>
            <w:shd w:fill="D6E4F0" w:val="clear"/>
            <w:tcMar>
              <w:top w:type="dxa" w:w="40"/>
              <w:left w:type="dxa" w:w="200"/>
              <w:bottom w:type="dxa" w:w="40"/>
              <w:right w:type="dxa" w:w="200"/>
            </w:tcMar>
          </w:tcPr>
          <w:p>
            <w:r>
              <w:rPr>
                <w:rFonts w:ascii="Arial" w:cs="Arial" w:eastAsia="Arial" w:hAnsi="Arial"/>
                <w:color w:val="333333"/>
                <w:sz w:val="21"/>
                <w:szCs w:val="21"/>
              </w:rPr>
              <w:t xml:space="preserve">  — Permanent Founding Patron designation activated</w:t>
            </w:r>
          </w:p>
        </w:tc>
      </w:tr>
    </w:tbl>
    <w:p>
      <w:pPr>
        <w:spacing w:after="0" w:before="120"/>
      </w:pPr>
      <w:r>
        <w:t xml:space="preserve"/>
      </w:r>
    </w:p>
    <w:p>
      <w:pPr>
        <w:pStyle w:val="Heading2"/>
        <w:spacing w:after="120" w:before="280"/>
      </w:pPr>
      <w:r>
        <w:rPr>
          <w:rFonts w:ascii="Arial" w:cs="Arial" w:eastAsia="Arial" w:hAnsi="Arial"/>
          <w:b/>
          <w:bCs/>
          <w:color w:val="1B3A5C"/>
          <w:sz w:val="24"/>
          <w:szCs w:val="24"/>
        </w:rPr>
        <w:t xml:space="preserve">Class B — Equity Membership Detail</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EDD6" w:val="clear"/>
            <w:tcMar>
              <w:top w:type="dxa" w:w="100"/>
              <w:left w:type="dxa" w:w="200"/>
              <w:bottom w:type="dxa" w:w="60"/>
              <w:right w:type="dxa" w:w="200"/>
            </w:tcMar>
          </w:tcPr>
          <w:p>
            <w:r>
              <w:rPr>
                <w:rFonts w:ascii="Arial" w:cs="Arial" w:eastAsia="Arial" w:hAnsi="Arial"/>
                <w:b/>
                <w:bCs/>
                <w:color w:val="8B6914"/>
                <w:sz w:val="22"/>
                <w:szCs w:val="22"/>
              </w:rPr>
              <w:t xml:space="preserve">CLASS B — Founding Patron Equity Membership</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Instrument: Direct non-voting membership interest in ReGenAmericana, LLC</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Pre-money valuation: $6,000,000</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Ownership example: $100,000 investment = 1.67% membership interest</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Ownership example: $250,000 investment = 4.17% membership interest</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Ownership example: $500,000 investment = 8.33% membership interest</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Economics: Straight membership — pro-rata participation in all distributions,</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  appreciation, and any future liquidity event alongside the Founder</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No preferred return, no cap, no sunset — full upside, full horizon</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Non-voting: no management rights or operational authority</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April 2027 True-Up: if independent valuation &lt; $6M, equity % increased to actual valuation at no cost</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Grant: LOC funds project expenditures; reimbursed by state; strengthens balance sheet. If not awarded, $905,416 raised from investors under same Founding Patron terms.</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Permanent Founding Patron designation — all recognition benefits included</w:t>
            </w:r>
          </w:p>
        </w:tc>
      </w:tr>
    </w:tbl>
    <w:p>
      <w:pPr>
        <w:spacing w:after="0" w:before="120"/>
      </w:pPr>
      <w:r>
        <w:t xml:space="preserve"/>
      </w:r>
    </w:p>
    <w:p>
      <w:pPr>
        <w:spacing w:after="100" w:before="80"/>
        <w:jc w:val="both"/>
      </w:pPr>
      <w:r>
        <w:rPr>
          <w:rFonts w:ascii="Arial" w:cs="Arial" w:eastAsia="Arial" w:hAnsi="Arial"/>
          <w:b w:val="false"/>
          <w:bCs w:val="false"/>
          <w:i w:val="false"/>
          <w:iCs w:val="false"/>
          <w:color w:val="222222"/>
          <w:sz w:val="22"/>
          <w:szCs w:val="22"/>
        </w:rPr>
        <w:t xml:space="preserve">The logic of Class B is straightforward: at $6,000,000 pre-money valuation, investors are entering a company whose foundational protocol has been shown in peer-reviewed research to reduce sodium concentration in crop leaves by up to 63% — evidence that C-Change doesn’t merely boost yield in ideal conditions, but actively rehabilitates compromised soil. That scalability across soil types is the commercial opportunity. The company also brings documented record-setting field trials, an operational production facility, supply contracts covering 400,000 CY annually, a submitted $905,416 state grant, and unit economics that produce exceptional margins at scale. The valuation reflects present reality. The upside reflects what scale unlocks.</w:t>
      </w:r>
    </w:p>
    <w:p>
      <w:pPr>
        <w:spacing w:after="0" w:before="80"/>
      </w:pPr>
      <w:r>
        <w:t xml:space="preserve"/>
      </w:r>
    </w:p>
    <w:p>
      <w:pPr>
        <w:pStyle w:val="Heading2"/>
        <w:spacing w:after="120" w:before="280"/>
      </w:pPr>
      <w:r>
        <w:rPr>
          <w:rFonts w:ascii="Arial" w:cs="Arial" w:eastAsia="Arial" w:hAnsi="Arial"/>
          <w:b/>
          <w:bCs/>
          <w:color w:val="1B3A5C"/>
          <w:sz w:val="24"/>
          <w:szCs w:val="24"/>
        </w:rPr>
        <w:t xml:space="preserve">Ownership Illustration — Class B</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dxa" w:w="22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Investment</w:t>
            </w:r>
          </w:p>
        </w:tc>
        <w:tc>
          <w:tcPr>
            <w:tcW w:type="dxa" w:w="24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 Ownership at $6M Valuation</w:t>
            </w:r>
          </w:p>
        </w:tc>
        <w:tc>
          <w:tcPr>
            <w:tcW w:type="dxa" w:w="238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Value if Company Reaches $20M</w:t>
            </w:r>
          </w:p>
        </w:tc>
        <w:tc>
          <w:tcPr>
            <w:tcW w:type="dxa" w:w="238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Value if Company Reaches $50M</w:t>
            </w:r>
          </w:p>
        </w:tc>
      </w:tr>
      <w:tr>
        <w:tc>
          <w:tcPr>
            <w:tcW w:type="dxa" w:w="22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$25,000</w:t>
            </w:r>
          </w:p>
        </w:tc>
        <w:tc>
          <w:tcPr>
            <w:tcW w:type="dxa" w:w="24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0.42%</w:t>
            </w:r>
          </w:p>
        </w:tc>
        <w:tc>
          <w:tcPr>
            <w:tcW w:type="dxa" w:w="2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$83,333</w:t>
            </w:r>
          </w:p>
        </w:tc>
        <w:tc>
          <w:tcPr>
            <w:tcW w:type="dxa" w:w="2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$208,333</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$50,000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0.83%</w:t>
            </w:r>
          </w:p>
        </w:tc>
        <w:tc>
          <w:tcPr>
            <w:tcW w:type="dxa" w:w="2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$166,667</w:t>
            </w:r>
          </w:p>
        </w:tc>
        <w:tc>
          <w:tcPr>
            <w:tcW w:type="dxa" w:w="2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$416,667</w:t>
            </w:r>
          </w:p>
        </w:tc>
      </w:tr>
      <w:tr>
        <w:tc>
          <w:tcPr>
            <w:tcW w:type="dxa" w:w="22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$100,000</w:t>
            </w:r>
          </w:p>
        </w:tc>
        <w:tc>
          <w:tcPr>
            <w:tcW w:type="dxa" w:w="24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1.67%</w:t>
            </w:r>
          </w:p>
        </w:tc>
        <w:tc>
          <w:tcPr>
            <w:tcW w:type="dxa" w:w="2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$333,333</w:t>
            </w:r>
          </w:p>
        </w:tc>
        <w:tc>
          <w:tcPr>
            <w:tcW w:type="dxa" w:w="2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$833,333</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$250,000</w:t>
            </w:r>
          </w:p>
        </w:tc>
        <w:tc>
          <w:tcPr>
            <w:tcW w:type="dxa" w:w="24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4.17%</w:t>
            </w:r>
          </w:p>
        </w:tc>
        <w:tc>
          <w:tcPr>
            <w:tcW w:type="dxa" w:w="2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$833,333</w:t>
            </w:r>
          </w:p>
        </w:tc>
        <w:tc>
          <w:tcPr>
            <w:tcW w:type="dxa" w:w="23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$2,083,333</w:t>
            </w:r>
          </w:p>
        </w:tc>
      </w:tr>
      <w:tr>
        <w:tc>
          <w:tcPr>
            <w:tcW w:type="dxa" w:w="22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$500,000</w:t>
            </w:r>
          </w:p>
        </w:tc>
        <w:tc>
          <w:tcPr>
            <w:tcW w:type="dxa" w:w="24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8.33%</w:t>
            </w:r>
          </w:p>
        </w:tc>
        <w:tc>
          <w:tcPr>
            <w:tcW w:type="dxa" w:w="2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$1,666,667</w:t>
            </w:r>
          </w:p>
        </w:tc>
        <w:tc>
          <w:tcPr>
            <w:tcW w:type="dxa" w:w="238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$4,166,667</w:t>
            </w:r>
          </w:p>
        </w:tc>
      </w:tr>
    </w:tbl>
    <w:p>
      <w:pPr>
        <w:spacing w:after="0" w:before="100"/>
      </w:pPr>
      <w:r>
        <w:t xml:space="preserve"/>
      </w:r>
    </w:p>
    <w:p>
      <w:pPr>
        <w:spacing w:after="100" w:before="80"/>
        <w:jc w:val="both"/>
      </w:pPr>
      <w:r>
        <w:rPr>
          <w:rFonts w:ascii="Arial" w:cs="Arial" w:eastAsia="Arial" w:hAnsi="Arial"/>
          <w:b w:val="false"/>
          <w:bCs w:val="false"/>
          <w:i/>
          <w:iCs/>
          <w:color w:val="666666"/>
          <w:sz w:val="22"/>
          <w:szCs w:val="22"/>
        </w:rPr>
        <w:t xml:space="preserve">Illustrative only. No specific valuation or return is guaranteed. Future company value depends entirely on revenue performance, market conditions, and execution.</w:t>
      </w:r>
    </w:p>
    <w:p>
      <w:pPr>
        <w:spacing w:after="0" w:before="120"/>
      </w:pPr>
      <w:r>
        <w:t xml:space="preserve"/>
      </w:r>
    </w:p>
    <w:p>
      <w:pPr>
        <w:pStyle w:val="Heading2"/>
        <w:spacing w:after="120" w:before="280"/>
      </w:pPr>
      <w:r>
        <w:rPr>
          <w:rFonts w:ascii="Arial" w:cs="Arial" w:eastAsia="Arial" w:hAnsi="Arial"/>
          <w:b/>
          <w:bCs/>
          <w:color w:val="1B3A5C"/>
          <w:sz w:val="24"/>
          <w:szCs w:val="24"/>
        </w:rPr>
        <w:t xml:space="preserve">April 2027 Valuation True-Up — Investor Protection</w:t>
      </w:r>
    </w:p>
    <w:p>
      <w:pPr>
        <w:spacing w:after="100" w:before="80"/>
        <w:jc w:val="both"/>
      </w:pPr>
      <w:r>
        <w:rPr>
          <w:rFonts w:ascii="Arial" w:cs="Arial" w:eastAsia="Arial" w:hAnsi="Arial"/>
          <w:b w:val="false"/>
          <w:bCs w:val="false"/>
          <w:i w:val="false"/>
          <w:iCs w:val="false"/>
          <w:color w:val="222222"/>
          <w:sz w:val="22"/>
          <w:szCs w:val="22"/>
        </w:rPr>
        <w:t xml:space="preserve">ReGenAmericana is asking equity investors to enter at a $6,000,000 pre-money valuation — set at 3× the total raise of $1,750,000, reflecting the company’s existing infrastructure, field trial results, supply contracts, and submitted grant. To ensure that number is fair — and to protect investors if the company has not yet grown into it — the Operating Agreement includes a mandatory third-party valuation true-up in April 2027.</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AD9" w:val="clear"/>
            <w:tcMar>
              <w:top w:type="dxa" w:w="100"/>
              <w:left w:type="dxa" w:w="200"/>
              <w:bottom w:type="dxa" w:w="60"/>
              <w:right w:type="dxa" w:w="200"/>
            </w:tcMar>
          </w:tcPr>
          <w:p>
            <w:r>
              <w:rPr>
                <w:rFonts w:ascii="Arial" w:cs="Arial" w:eastAsia="Arial" w:hAnsi="Arial"/>
                <w:b/>
                <w:bCs/>
                <w:color w:val="1A4D2E"/>
                <w:sz w:val="22"/>
                <w:szCs w:val="22"/>
              </w:rPr>
              <w:t xml:space="preserve">The 3× Multiple Standard</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The $6,000,000 pre-money valuation is set at exactly 3× the Founding Patron raise of $1,750,000.</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This multiple reflects the company’s present asset base, proven field results, and near-term revenue potential.</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The April 2027 independent valuation will determine whether the company has grown into — or beyond — this multiple.</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If the independent valuation confirms $6,000,000 or greater, the 3× entry multiple is validated.</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If the independent valuation comes in below $6,000,000, equity investors are made whole at the actual valuation.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EDD6" w:val="clear"/>
            <w:tcMar>
              <w:top w:type="dxa" w:w="100"/>
              <w:left w:type="dxa" w:w="200"/>
              <w:bottom w:type="dxa" w:w="60"/>
              <w:right w:type="dxa" w:w="200"/>
            </w:tcMar>
          </w:tcPr>
          <w:p>
            <w:r>
              <w:rPr>
                <w:rFonts w:ascii="Arial" w:cs="Arial" w:eastAsia="Arial" w:hAnsi="Arial"/>
                <w:b/>
                <w:bCs/>
                <w:color w:val="8B6914"/>
                <w:sz w:val="22"/>
                <w:szCs w:val="22"/>
              </w:rPr>
              <w:t xml:space="preserve">How the True-Up Works</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April 2027: ReGenAmericana engages an independent third-party business valuator</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Cost of valuation shared equally between the company and equity investors</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Valuator applies standard methodologies: revenue multiples, DCF, comparable transactions</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The valuator’s determination is final and binding on all parties</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IF April 2027 valuation ≥ $6,000,000:</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  — No adjustment. Investors hold their original percentage and ride the upside.</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IF April 2027 valuation &lt; $6,000,000:</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  — Each equity investor’s percentage is recalculated at the actual valuation</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  — Additional membership units are created and issued to make investors whole</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  — New units dilute all members proportionally, including the Founder</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  — Issuance completed within 30 days of valuator’s determination</w:t>
            </w:r>
          </w:p>
        </w:tc>
      </w:tr>
    </w:tbl>
    <w:p>
      <w:pPr>
        <w:spacing w:after="0" w:before="100"/>
      </w:pPr>
      <w:r>
        <w:t xml:space="preserve"/>
      </w:r>
    </w:p>
    <w:p>
      <w:pPr>
        <w:spacing w:after="100" w:before="80"/>
        <w:jc w:val="both"/>
      </w:pPr>
      <w:r>
        <w:rPr>
          <w:rFonts w:ascii="Arial" w:cs="Arial" w:eastAsia="Arial" w:hAnsi="Arial"/>
          <w:b w:val="false"/>
          <w:bCs w:val="false"/>
          <w:i w:val="false"/>
          <w:iCs w:val="false"/>
          <w:color w:val="222222"/>
          <w:sz w:val="22"/>
          <w:szCs w:val="22"/>
        </w:rPr>
        <w:t xml:space="preserve">Example: An investor contributes $100,000 at the $6,000,000 pre-money valuation, receiving 1.67% membership interest. In April 2027, the independent valuator determines the company’s fair market value is $3,000,000. The investor’s corrected percentage = $100,000 ÷ $3,000,000 = 3.33%. ReGenAmericana issues additional units representing the 1.66% difference, at no cost to the investor, diluting all members proportionally.</w:t>
      </w:r>
    </w:p>
    <w:p>
      <w:pPr>
        <w:spacing w:after="0" w:before="80"/>
      </w:pPr>
      <w:r>
        <w:t xml:space="preserve"/>
      </w:r>
    </w:p>
    <w:p>
      <w:pPr>
        <w:spacing w:after="100" w:before="80"/>
        <w:jc w:val="both"/>
      </w:pPr>
      <w:r>
        <w:rPr>
          <w:rFonts w:ascii="Arial" w:cs="Arial" w:eastAsia="Arial" w:hAnsi="Arial"/>
          <w:b w:val="false"/>
          <w:bCs w:val="false"/>
          <w:i w:val="false"/>
          <w:iCs w:val="false"/>
          <w:color w:val="222222"/>
          <w:sz w:val="22"/>
          <w:szCs w:val="22"/>
        </w:rPr>
        <w:t xml:space="preserve">If the April 2027 valuation exceeds $6,000,000 — which is the expectation given the company’s trajectory, the grant, and the field trial results already in hand — investors simply hold their original percentage in a company worth more than they paid for. The true-up only ever moves in the investor’s favor.</w:t>
      </w:r>
    </w:p>
    <w:p>
      <w:pPr>
        <w:spacing w:after="0" w:before="80"/>
      </w:pPr>
      <w:r>
        <w:t xml:space="preserve"/>
      </w:r>
    </w:p>
    <w:p>
      <w:pPr>
        <w:pBdr>
          <w:left w:val="single" w:color="2E7D4F" w:sz="18" w:space="12"/>
          <w:right w:val="single" w:color="2E7D4F" w:sz="18" w:space="12"/>
        </w:pBdr>
        <w:spacing w:after="240" w:before="240"/>
        <w:ind w:left="720" w:right="720"/>
        <w:jc w:val="center"/>
      </w:pPr>
      <w:r>
        <w:rPr>
          <w:rFonts w:ascii="Arial" w:cs="Arial" w:eastAsia="Arial" w:hAnsi="Arial"/>
          <w:b/>
          <w:bCs/>
          <w:i/>
          <w:iCs/>
          <w:color w:val="1A4D2E"/>
          <w:sz w:val="24"/>
          <w:szCs w:val="24"/>
        </w:rPr>
        <w:t xml:space="preserve">We set the valuation at $6,000,000 because we believe it. In April 2027, an independent expert will confirm it — or investors will be made whole.</w:t>
      </w:r>
    </w:p>
    <w:p>
      <w:pPr>
        <w:spacing w:after="0" w:before="80"/>
      </w:pPr>
      <w:r>
        <w:t xml:space="preserve"/>
      </w:r>
    </w:p>
    <w:p>
      <w:pPr>
        <w:pStyle w:val="Heading2"/>
        <w:spacing w:after="120" w:before="280"/>
      </w:pPr>
      <w:r>
        <w:rPr>
          <w:rFonts w:ascii="Arial" w:cs="Arial" w:eastAsia="Arial" w:hAnsi="Arial"/>
          <w:b/>
          <w:bCs/>
          <w:color w:val="1B3A5C"/>
          <w:sz w:val="24"/>
          <w:szCs w:val="24"/>
        </w:rPr>
        <w:t xml:space="preserve">Terms Summary</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312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Term</w:t>
            </w:r>
          </w:p>
        </w:tc>
        <w:tc>
          <w:tcPr>
            <w:tcW w:type="dxa" w:w="312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Class A</w:t>
            </w:r>
          </w:p>
        </w:tc>
        <w:tc>
          <w:tcPr>
            <w:tcW w:type="dxa" w:w="312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Class B</w:t>
            </w:r>
          </w:p>
        </w:tc>
      </w:tr>
      <w:tr>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Minimum Investment</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$25,000</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$25,000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Target Raise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$1,750,000 combined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$1,750,000 combined</w:t>
            </w:r>
          </w:p>
        </w:tc>
      </w:tr>
      <w:tr>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Grant LOC (Non-Investor)</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$905,416 LOC — funds grant items; retired by reimbursement. If not awarded, raised from investors under same terms.</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$905,416 LOC — funds grant items; retired by reimbursement. If not awarded, raised from investors under same terms.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Instrument</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Convertible Note → Royalty Certificate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Membership Interest</w:t>
            </w:r>
          </w:p>
        </w:tc>
      </w:tr>
      <w:tr>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Pre-Money Valuation</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N/A</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$6,000,000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Return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2.5% royalty, 2.5× cap</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Pro-rata, uncapped</w:t>
            </w:r>
          </w:p>
        </w:tc>
      </w:tr>
      <w:tr>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Grant Path Upgrade</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3.5% royalty, 3.5× cap</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N/A — equity held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April 2027 True-Up</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N/A</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Yes — equity adjusted to actual valuation if below $6M</w:t>
            </w:r>
          </w:p>
        </w:tc>
      </w:tr>
      <w:tr>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Voting Rights</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None</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None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Founding Patron Status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Yes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Yes</w:t>
            </w:r>
          </w:p>
        </w:tc>
      </w:tr>
      <w:tr>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Governing Law</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Pennsylvania</w:t>
            </w:r>
          </w:p>
        </w:tc>
        <w:tc>
          <w:tcPr>
            <w:tcW w:type="dxa" w:w="312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Pennsylvania</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Accredited Investor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Required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Required</w:t>
            </w:r>
          </w:p>
        </w:tc>
      </w:tr>
    </w:tbl>
    <w:p>
      <w:r>
        <w:br w:type="page"/>
      </w:r>
    </w:p>
    <w:p>
      <w:pPr>
        <w:pStyle w:val="Heading1"/>
        <w:pBdr>
          <w:bottom w:val="single" w:color="2E7D4F" w:sz="6" w:space="6"/>
        </w:pBdr>
        <w:spacing w:after="160" w:before="360"/>
      </w:pPr>
      <w:r>
        <w:rPr>
          <w:rFonts w:ascii="Arial" w:cs="Arial" w:eastAsia="Arial" w:hAnsi="Arial"/>
          <w:b/>
          <w:bCs/>
          <w:color w:val="1A4D2E"/>
          <w:sz w:val="28"/>
          <w:szCs w:val="28"/>
        </w:rPr>
        <w:t xml:space="preserve">V.  Mission by Design — 13% of Profits, Two Funds, One Purpose</w:t>
      </w:r>
    </w:p>
    <w:p>
      <w:pPr>
        <w:spacing w:after="100" w:before="80"/>
        <w:jc w:val="both"/>
      </w:pPr>
      <w:r>
        <w:rPr>
          <w:rFonts w:ascii="Arial" w:cs="Arial" w:eastAsia="Arial" w:hAnsi="Arial"/>
          <w:b w:val="false"/>
          <w:bCs w:val="false"/>
          <w:i w:val="false"/>
          <w:iCs w:val="false"/>
          <w:color w:val="222222"/>
          <w:sz w:val="22"/>
          <w:szCs w:val="22"/>
        </w:rPr>
        <w:t xml:space="preserve">ReGenAmericana is a for-profit company. We are not apologetic about that — it is precisely what makes the mission durable. A company that earns real margin at scale can do what a grant-dependent nonprofit cannot: sustain its impact indefinitely, grow it proportionally, and fund it from strength rather than charity.</w:t>
      </w:r>
    </w:p>
    <w:p>
      <w:pPr>
        <w:spacing w:after="0" w:before="80"/>
      </w:pPr>
      <w:r>
        <w:t xml:space="preserve"/>
      </w:r>
    </w:p>
    <w:p>
      <w:pPr>
        <w:spacing w:after="100" w:before="80"/>
        <w:jc w:val="both"/>
      </w:pPr>
      <w:r>
        <w:rPr>
          <w:rFonts w:ascii="Arial" w:cs="Arial" w:eastAsia="Arial" w:hAnsi="Arial"/>
          <w:b w:val="false"/>
          <w:bCs w:val="false"/>
          <w:i w:val="false"/>
          <w:iCs w:val="false"/>
          <w:color w:val="222222"/>
          <w:sz w:val="22"/>
          <w:szCs w:val="22"/>
        </w:rPr>
        <w:t xml:space="preserve">ReGenAmericana’s Operating Agreement permanently designates thirteen percent of net profits to mission — split across two distinct funds, each with its own purpose, governance, and donor community. This is not discretionary. It is not a marketing gesture. It is a binding governance obligation written into the company’s foundational documents.</w:t>
      </w:r>
    </w:p>
    <w:p>
      <w:pPr>
        <w:spacing w:after="0" w:before="80"/>
      </w:pPr>
      <w:r>
        <w:t xml:space="preserve"/>
      </w:r>
    </w:p>
    <w:p>
      <w:pPr>
        <w:pBdr>
          <w:left w:val="single" w:color="2E7D4F" w:sz="18" w:space="12"/>
          <w:right w:val="single" w:color="2E7D4F" w:sz="18" w:space="12"/>
        </w:pBdr>
        <w:spacing w:after="240" w:before="240"/>
        <w:ind w:left="720" w:right="720"/>
        <w:jc w:val="center"/>
      </w:pPr>
      <w:r>
        <w:rPr>
          <w:rFonts w:ascii="Arial" w:cs="Arial" w:eastAsia="Arial" w:hAnsi="Arial"/>
          <w:b/>
          <w:bCs/>
          <w:i/>
          <w:iCs/>
          <w:color w:val="1A4D2E"/>
          <w:sz w:val="24"/>
          <w:szCs w:val="24"/>
        </w:rPr>
        <w:t xml:space="preserve">The mission doesn’t compete with the business. It grows with it. Thirteen cents of every profit dollar goes to healing American soil.</w:t>
      </w:r>
    </w:p>
    <w:p>
      <w:pPr>
        <w:spacing w:after="0" w:before="120"/>
      </w:pPr>
      <w:r>
        <w:t xml:space="preserve"/>
      </w:r>
    </w:p>
    <w:p>
      <w:pPr>
        <w:pStyle w:val="Heading2"/>
        <w:spacing w:after="120" w:before="280"/>
      </w:pPr>
      <w:r>
        <w:rPr>
          <w:rFonts w:ascii="Arial" w:cs="Arial" w:eastAsia="Arial" w:hAnsi="Arial"/>
          <w:b/>
          <w:bCs/>
          <w:color w:val="1B3A5C"/>
          <w:sz w:val="24"/>
          <w:szCs w:val="24"/>
        </w:rPr>
        <w:t xml:space="preserve">Fund One — C-Change Mission Fund  |  5% of Net Profits</w:t>
      </w:r>
    </w:p>
    <w:p>
      <w:pPr>
        <w:spacing w:after="100" w:before="80"/>
        <w:jc w:val="both"/>
      </w:pPr>
      <w:r>
        <w:rPr>
          <w:rFonts w:ascii="Arial" w:cs="Arial" w:eastAsia="Arial" w:hAnsi="Arial"/>
          <w:b w:val="false"/>
          <w:bCs w:val="false"/>
          <w:i w:val="false"/>
          <w:iCs w:val="false"/>
          <w:color w:val="222222"/>
          <w:sz w:val="22"/>
          <w:szCs w:val="22"/>
        </w:rPr>
        <w:t xml:space="preserve">The C-Change Mission Fund expands access to biological soil amendment — ensuring that the farms and growers who need C-Change most are never priced out of it.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dxa" w:w="280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Purpose</w:t>
            </w:r>
          </w:p>
        </w:tc>
        <w:tc>
          <w:tcPr>
            <w:tcW w:type="dxa" w:w="6560"/>
            <w:tcBorders>
              <w:top w:val="single" w:color="CCCCCC" w:sz="1"/>
              <w:left w:val="single" w:color="CCCCCC" w:sz="1"/>
              <w:bottom w:val="single" w:color="CCCCCC" w:sz="1"/>
              <w:right w:val="single" w:color="CCCCCC" w:sz="1"/>
            </w:tcBorders>
            <w:shd w:fill="1A4D2E" w:val="clear"/>
            <w:tcMar>
              <w:top w:type="dxa" w:w="100"/>
              <w:left w:type="dxa" w:w="150"/>
              <w:bottom w:type="dxa" w:w="100"/>
              <w:right w:type="dxa" w:w="150"/>
            </w:tcMar>
          </w:tcPr>
          <w:p>
            <w:pPr>
              <w:jc w:val="center"/>
            </w:pPr>
            <w:r>
              <w:rPr>
                <w:rFonts w:ascii="Arial" w:cs="Arial" w:eastAsia="Arial" w:hAnsi="Arial"/>
                <w:b/>
                <w:bCs/>
                <w:color w:val="FFFFFF"/>
                <w:sz w:val="20"/>
                <w:szCs w:val="20"/>
              </w:rPr>
              <w:t xml:space="preserve">What It Does</w:t>
            </w:r>
          </w:p>
        </w:tc>
      </w:tr>
      <w:tr>
        <w:tc>
          <w:tcPr>
            <w:tcW w:type="dxa" w:w="28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Price Relief</w:t>
            </w:r>
          </w:p>
        </w:tc>
        <w:tc>
          <w:tcPr>
            <w:tcW w:type="dxa" w:w="65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Subsidizes C-Change cost for small and mid-size farms that cannot absorb full retail pricing. The goal: soil health accessible to every farm in Chester County and beyond.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Product Donations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Free product to community growers and farms in genuine financial distress. Kennett Square community first.</w:t>
            </w:r>
          </w:p>
        </w:tc>
      </w:tr>
      <w:tr>
        <w:tc>
          <w:tcPr>
            <w:tcW w:type="dxa" w:w="280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left"/>
            </w:pPr>
            <w:r>
              <w:rPr>
                <w:rFonts w:ascii="Arial" w:cs="Arial" w:eastAsia="Arial" w:hAnsi="Arial"/>
                <w:color w:val="222222"/>
                <w:sz w:val="20"/>
                <w:szCs w:val="20"/>
              </w:rPr>
              <w:t xml:space="preserve">First Witness Trials</w:t>
            </w:r>
          </w:p>
        </w:tc>
        <w:tc>
          <w:tcPr>
            <w:tcW w:type="dxa" w:w="6560"/>
            <w:tcBorders>
              <w:top w:val="single" w:color="CCCCCC" w:sz="1"/>
              <w:left w:val="single" w:color="CCCCCC" w:sz="1"/>
              <w:bottom w:val="single" w:color="CCCCCC" w:sz="1"/>
              <w:right w:val="single" w:color="CCCCCC" w:sz="1"/>
            </w:tcBorders>
            <w:shd w:fill="D6EAD9" w:val="clear"/>
            <w:tcMar>
              <w:top w:type="dxa" w:w="80"/>
              <w:left w:type="dxa" w:w="150"/>
              <w:bottom w:type="dxa" w:w="80"/>
              <w:right w:type="dxa" w:w="150"/>
            </w:tcMar>
          </w:tcPr>
          <w:p>
            <w:pPr>
              <w:jc w:val="center"/>
            </w:pPr>
            <w:r>
              <w:rPr>
                <w:rFonts w:ascii="Arial" w:cs="Arial" w:eastAsia="Arial" w:hAnsi="Arial"/>
                <w:color w:val="222222"/>
                <w:sz w:val="20"/>
                <w:szCs w:val="20"/>
              </w:rPr>
              <w:t xml:space="preserve">Covers full product cost for demonstration farmers who cannot afford to experiment. Their results become our proof; their success becomes our market.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color w:val="222222"/>
                <w:sz w:val="20"/>
                <w:szCs w:val="20"/>
              </w:rPr>
              <w:t xml:space="preserve">Watershed Protection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color w:val="222222"/>
                <w:sz w:val="20"/>
                <w:szCs w:val="20"/>
              </w:rPr>
              <w:t xml:space="preserve">Discounted or donated product to farms in the Brandywine and Red Clay Creek buffer zones, in partnership with watershed conservation organizations.</w:t>
            </w:r>
          </w:p>
        </w:tc>
      </w:tr>
    </w:tbl>
    <w:p>
      <w:pPr>
        <w:spacing w:after="0" w:before="160"/>
      </w:pPr>
      <w:r>
        <w:t xml:space="preserve"/>
      </w:r>
    </w:p>
    <w:p>
      <w:pPr>
        <w:pStyle w:val="Heading2"/>
        <w:spacing w:after="120" w:before="280"/>
      </w:pPr>
      <w:r>
        <w:rPr>
          <w:rFonts w:ascii="Arial" w:cs="Arial" w:eastAsia="Arial" w:hAnsi="Arial"/>
          <w:b/>
          <w:bCs/>
          <w:color w:val="1B3A5C"/>
          <w:sz w:val="24"/>
          <w:szCs w:val="24"/>
        </w:rPr>
        <w:t xml:space="preserve">Fund Two — Americana Victory Gardens Fund  |  8% of Net Profits</w:t>
      </w:r>
    </w:p>
    <w:p>
      <w:pPr>
        <w:spacing w:after="100" w:before="80"/>
        <w:jc w:val="both"/>
      </w:pPr>
      <w:r>
        <w:rPr>
          <w:rFonts w:ascii="Arial" w:cs="Arial" w:eastAsia="Arial" w:hAnsi="Arial"/>
          <w:b w:val="false"/>
          <w:bCs w:val="false"/>
          <w:i w:val="false"/>
          <w:iCs w:val="false"/>
          <w:color w:val="222222"/>
          <w:sz w:val="22"/>
          <w:szCs w:val="22"/>
        </w:rPr>
        <w:t xml:space="preserve">The Americana Victory Gardens Fund is ReGenAmericana’s answer to the question: what does marketing look like when a company truly lives its values? The answer is simple. We don’t buy ads. We build gardens.</w:t>
      </w:r>
    </w:p>
    <w:p>
      <w:pPr>
        <w:spacing w:after="0" w:before="80"/>
      </w:pPr>
      <w:r>
        <w:t xml:space="preserve"/>
      </w:r>
    </w:p>
    <w:p>
      <w:pPr>
        <w:spacing w:after="100" w:before="80"/>
        <w:jc w:val="both"/>
      </w:pPr>
      <w:r>
        <w:rPr>
          <w:rFonts w:ascii="Arial" w:cs="Arial" w:eastAsia="Arial" w:hAnsi="Arial"/>
          <w:b w:val="false"/>
          <w:bCs w:val="false"/>
          <w:i w:val="false"/>
          <w:iCs w:val="false"/>
          <w:color w:val="222222"/>
          <w:sz w:val="22"/>
          <w:szCs w:val="22"/>
        </w:rPr>
        <w:t xml:space="preserve">The Americana Victory Gardens Fund is a fiscally sponsored nonprofit housed under Givinga, providing immediate tax deductibility for all donations. ReGenAmericana seeds the fund with $150,000 at launch — the company’s entire marketing budget — and sustains it with eight percent of net profits permanently. The fund runs multiple donor campaigns, each designed to let supporters direct their dollars to the impact they care about most.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EDD6" w:val="clear"/>
            <w:tcMar>
              <w:top w:type="dxa" w:w="100"/>
              <w:left w:type="dxa" w:w="200"/>
              <w:bottom w:type="dxa" w:w="60"/>
              <w:right w:type="dxa" w:w="200"/>
            </w:tcMar>
          </w:tcPr>
          <w:p>
            <w:r>
              <w:rPr>
                <w:rFonts w:ascii="Arial" w:cs="Arial" w:eastAsia="Arial" w:hAnsi="Arial"/>
                <w:b/>
                <w:bCs/>
                <w:color w:val="8B6914"/>
                <w:sz w:val="22"/>
                <w:szCs w:val="22"/>
              </w:rPr>
              <w:t xml:space="preserve">Americana Victory Gardens Fund — Donor Campaigns</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Neighborhood Garden Installations — Sponsor a complete C-Change-amended community garden</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School Garden Program — Fund soil amendment and installation at a school growing program</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Urban Farm Acres — Convert urban or peri-urban land to regeneratively amended production</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Watershed Buffer Planting — Sponsor farm acres along the Brandywine and Red Clay Creek corridors</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First Witness Farm — Fully fund a demonstration trial at a working farm</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Kennett Square Community — Direct support for the mushroom growing community that anchors our home</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Custom Impact — Donors work with the Fund to design campaigns matching their specific values</w:t>
            </w:r>
          </w:p>
        </w:tc>
      </w:tr>
    </w:tbl>
    <w:p>
      <w:pPr>
        <w:spacing w:after="0" w:before="120"/>
      </w:pPr>
      <w:r>
        <w:t xml:space="preserve"/>
      </w:r>
    </w:p>
    <w:p>
      <w:pPr>
        <w:spacing w:after="100" w:before="80"/>
        <w:jc w:val="both"/>
      </w:pPr>
      <w:r>
        <w:rPr>
          <w:rFonts w:ascii="Arial" w:cs="Arial" w:eastAsia="Arial" w:hAnsi="Arial"/>
          <w:b w:val="false"/>
          <w:bCs w:val="false"/>
          <w:i w:val="false"/>
          <w:iCs w:val="false"/>
          <w:color w:val="222222"/>
          <w:sz w:val="22"/>
          <w:szCs w:val="22"/>
        </w:rPr>
        <w:t xml:space="preserve">Every garden planted, every farm acre converted, every school program launched becomes a story — photography, video, testimonials from the farmers and families who tend the soil. This is ReGenAmericana’s content. This is the company’s presence in the world. Not a campaign. Not a brand exercise. The actual work, documented and shared.</w:t>
      </w:r>
    </w:p>
    <w:p>
      <w:pPr>
        <w:spacing w:after="0" w:before="80"/>
      </w:pPr>
      <w:r>
        <w:t xml:space="preserve"/>
      </w:r>
    </w:p>
    <w:p>
      <w:pPr>
        <w:spacing w:after="100" w:before="80"/>
        <w:jc w:val="both"/>
      </w:pPr>
      <w:r>
        <w:rPr>
          <w:rFonts w:ascii="Arial" w:cs="Arial" w:eastAsia="Arial" w:hAnsi="Arial"/>
          <w:b w:val="false"/>
          <w:bCs w:val="false"/>
          <w:i w:val="false"/>
          <w:iCs w:val="false"/>
          <w:color w:val="222222"/>
          <w:sz w:val="22"/>
          <w:szCs w:val="22"/>
        </w:rPr>
        <w:t xml:space="preserve">The WWII Victory Garden movement mobilized twenty million American gardeners who grew forty percent of the nation’s vegetables in backyards and empty lots. They did it because the moment demanded it. Americana Victory Gardens calls that spirit back into service — not for wartime scarcity, but for soil health, community resilience, and the regeneration of the land that feeds us.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AD9" w:val="clear"/>
            <w:tcMar>
              <w:top w:type="dxa" w:w="100"/>
              <w:left w:type="dxa" w:w="200"/>
              <w:bottom w:type="dxa" w:w="60"/>
              <w:right w:type="dxa" w:w="200"/>
            </w:tcMar>
          </w:tcPr>
          <w:p>
            <w:r>
              <w:rPr>
                <w:rFonts w:ascii="Arial" w:cs="Arial" w:eastAsia="Arial" w:hAnsi="Arial"/>
                <w:b/>
                <w:bCs/>
                <w:color w:val="1A4D2E"/>
                <w:sz w:val="22"/>
                <w:szCs w:val="22"/>
              </w:rPr>
              <w:t xml:space="preserve">The Combined Mission Commitment</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5% of net profits — C-Change Mission Fund (farm access, price relief, first witness trials, watershed)</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8% of net profits — Americana Victory Gardens Fund (garden installations, farm acres, community programs)</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13% of net profits total — permanently, structurally, by governance obligation</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Fiscal sponsor: Givinga — all AVGF donations are immediately tax-deductible</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Launch capital: $150,000 from the Founding Patron Raise — this is the entire marketing budget</w:t>
            </w:r>
          </w:p>
        </w:tc>
      </w:tr>
    </w:tbl>
    <w:p>
      <w:pPr>
        <w:spacing w:after="0" w:before="120"/>
      </w:pPr>
      <w:r>
        <w:t xml:space="preserve"/>
      </w:r>
    </w:p>
    <w:p>
      <w:pPr>
        <w:spacing w:after="100" w:before="80"/>
        <w:jc w:val="both"/>
      </w:pPr>
      <w:r>
        <w:rPr>
          <w:rFonts w:ascii="Arial" w:cs="Arial" w:eastAsia="Arial" w:hAnsi="Arial"/>
          <w:b w:val="false"/>
          <w:bCs w:val="false"/>
          <w:i w:val="false"/>
          <w:iCs w:val="false"/>
          <w:color w:val="222222"/>
          <w:sz w:val="22"/>
          <w:szCs w:val="22"/>
        </w:rPr>
        <w:t xml:space="preserve">Every Founding Patron — Class A and Class B alike — receives an Annual Impact Letter documenting both funds’ activity for that year: farms served, product donated, gardens planted, school programs launched, acres of watershed buffer treated, donor campaigns completed. They will know, every year, exactly what their partnership with ReGenAmericana built.</w:t>
      </w:r>
    </w:p>
    <w:p>
      <w:pPr>
        <w:spacing w:after="0" w:before="80"/>
      </w:pPr>
      <w:r>
        <w:t xml:space="preserve"/>
      </w:r>
    </w:p>
    <w:p>
      <w:pPr>
        <w:pBdr>
          <w:left w:val="single" w:color="2E7D4F" w:sz="18" w:space="12"/>
          <w:right w:val="single" w:color="2E7D4F" w:sz="18" w:space="12"/>
        </w:pBdr>
        <w:spacing w:after="240" w:before="240"/>
        <w:ind w:left="720" w:right="720"/>
        <w:jc w:val="center"/>
      </w:pPr>
      <w:r>
        <w:rPr>
          <w:rFonts w:ascii="Arial" w:cs="Arial" w:eastAsia="Arial" w:hAnsi="Arial"/>
          <w:b/>
          <w:bCs/>
          <w:i/>
          <w:iCs/>
          <w:color w:val="1A4D2E"/>
          <w:sz w:val="24"/>
          <w:szCs w:val="24"/>
        </w:rPr>
        <w:t xml:space="preserve">You are not just investing in a company. You are becoming part of how American soil gets healed — one garden, one farm, one community at a time.</w:t>
      </w:r>
    </w:p>
    <w:p>
      <w:r>
        <w:br w:type="page"/>
      </w:r>
    </w:p>
    <w:p>
      <w:pPr>
        <w:pStyle w:val="Heading1"/>
        <w:pBdr>
          <w:bottom w:val="single" w:color="2E7D4F" w:sz="6" w:space="6"/>
        </w:pBdr>
        <w:spacing w:after="160" w:before="360"/>
      </w:pPr>
      <w:r>
        <w:rPr>
          <w:rFonts w:ascii="Arial" w:cs="Arial" w:eastAsia="Arial" w:hAnsi="Arial"/>
          <w:b/>
          <w:bCs/>
          <w:color w:val="1A4D2E"/>
          <w:sz w:val="28"/>
          <w:szCs w:val="28"/>
        </w:rPr>
        <w:t xml:space="preserve">VI.  The Team</w:t>
      </w:r>
    </w:p>
    <w:p>
      <w:pPr>
        <w:pStyle w:val="Heading2"/>
        <w:spacing w:after="120" w:before="280"/>
      </w:pPr>
      <w:r>
        <w:rPr>
          <w:rFonts w:ascii="Arial" w:cs="Arial" w:eastAsia="Arial" w:hAnsi="Arial"/>
          <w:b/>
          <w:bCs/>
          <w:color w:val="1B3A5C"/>
          <w:sz w:val="24"/>
          <w:szCs w:val="24"/>
        </w:rPr>
        <w:t xml:space="preserve">Jeffrey Wallin — Founder &amp; Managing Member</w:t>
      </w:r>
    </w:p>
    <w:p>
      <w:pPr>
        <w:spacing w:after="100" w:before="80"/>
        <w:jc w:val="both"/>
      </w:pPr>
      <w:r>
        <w:rPr>
          <w:rFonts w:ascii="Arial" w:cs="Arial" w:eastAsia="Arial" w:hAnsi="Arial"/>
          <w:b w:val="false"/>
          <w:bCs w:val="false"/>
          <w:i w:val="false"/>
          <w:iCs w:val="false"/>
          <w:color w:val="222222"/>
          <w:sz w:val="22"/>
          <w:szCs w:val="22"/>
        </w:rPr>
        <w:t xml:space="preserve">Jeffrey Wallin has spent years at the intersection of regenerative agriculture, biological systems, and mission-driven enterprise. The science he has built ReGenAmericana around has been peer-reviewed and published: Texas State University’s research found that the C-Change foundational protocol increased fruit number per plant by 42% — not just larger yields, but more of them, consistently. As Founder and Chairman of ReGenAmericana, he has built the company’s supply chain relationships, secured the Groundswell® protocol license, developed the partnership with Nutra-Soils, Inc., and driven the field trial program that has produced record-setting results across multiple crops and geographies. He brings to ReGenAmericana a generative philosophy: that the most durable enterprises are those whose success mechanically produces public good.</w:t>
      </w:r>
    </w:p>
    <w:p>
      <w:pPr>
        <w:spacing w:after="0" w:before="120"/>
      </w:pPr>
      <w:r>
        <w:t xml:space="preserve"/>
      </w:r>
    </w:p>
    <w:p>
      <w:pPr>
        <w:pStyle w:val="Heading2"/>
        <w:spacing w:after="120" w:before="280"/>
      </w:pPr>
      <w:r>
        <w:rPr>
          <w:rFonts w:ascii="Arial" w:cs="Arial" w:eastAsia="Arial" w:hAnsi="Arial"/>
          <w:b/>
          <w:bCs/>
          <w:color w:val="1B3A5C"/>
          <w:sz w:val="24"/>
          <w:szCs w:val="24"/>
        </w:rPr>
        <w:t xml:space="preserve">Sarah L. Snyder — Chief Executive Officer</w:t>
      </w:r>
    </w:p>
    <w:p>
      <w:pPr>
        <w:spacing w:after="100" w:before="80"/>
        <w:jc w:val="both"/>
      </w:pPr>
      <w:r>
        <w:rPr>
          <w:rFonts w:ascii="Arial" w:cs="Arial" w:eastAsia="Arial" w:hAnsi="Arial"/>
          <w:b w:val="false"/>
          <w:bCs w:val="false"/>
          <w:i w:val="false"/>
          <w:iCs w:val="false"/>
          <w:color w:val="222222"/>
          <w:sz w:val="22"/>
          <w:szCs w:val="22"/>
        </w:rPr>
        <w:t xml:space="preserve">Sarah L. Snyder serves as CEO of ReGenAmericana, providing operational leadership, stakeholder management, and the institutional credibility that mission-driven agricultural innovation requires. Together, Jeffrey and Sarah have co-authored the Pennsylvania Agriculture Innovation Grant application and built the organizational framework for scale. Both have worked without compensation for approximately two years. This raise corrects that, and makes the company whole.</w:t>
      </w:r>
    </w:p>
    <w:p>
      <w:pPr>
        <w:spacing w:after="0" w:before="120"/>
      </w:pPr>
      <w:r>
        <w:t xml:space="preserve"/>
      </w:r>
    </w:p>
    <w:p>
      <w:pPr>
        <w:pStyle w:val="Heading2"/>
        <w:spacing w:after="120" w:before="280"/>
      </w:pPr>
      <w:r>
        <w:rPr>
          <w:rFonts w:ascii="Arial" w:cs="Arial" w:eastAsia="Arial" w:hAnsi="Arial"/>
          <w:b/>
          <w:bCs/>
          <w:color w:val="1B3A5C"/>
          <w:sz w:val="24"/>
          <w:szCs w:val="24"/>
        </w:rPr>
        <w:t xml:space="preserve">Key Partnerships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Nutra-Soils, Inc. (Jason Roberts)  —  Substrate supply, facility, machinery, labor  |  London Grove Township</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VRM Biologik  —  Groundswell® protocol licensor  |  40% discount being negotiated as in-kind match</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Texas State University  —  Academic research partner, peer-reviewable field trial collaboration</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CCEDC (Chester County Economic Development Council)  —  Regional economic development partner</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Earth Optics  —  Soil intelligence and data analytics partner</w:t>
            </w:r>
          </w:p>
        </w:tc>
      </w:tr>
    </w:tbl>
    <w:p>
      <w:r>
        <w:br w:type="page"/>
      </w:r>
    </w:p>
    <w:p>
      <w:pPr>
        <w:pStyle w:val="Heading1"/>
        <w:pBdr>
          <w:bottom w:val="single" w:color="2E7D4F" w:sz="6" w:space="6"/>
        </w:pBdr>
        <w:spacing w:after="160" w:before="360"/>
      </w:pPr>
      <w:r>
        <w:rPr>
          <w:rFonts w:ascii="Arial" w:cs="Arial" w:eastAsia="Arial" w:hAnsi="Arial"/>
          <w:b/>
          <w:bCs/>
          <w:color w:val="1A4D2E"/>
          <w:sz w:val="28"/>
          <w:szCs w:val="28"/>
        </w:rPr>
        <w:t xml:space="preserve">VII.  Risk Factors</w:t>
      </w:r>
    </w:p>
    <w:p>
      <w:pPr>
        <w:spacing w:after="100" w:before="80"/>
        <w:jc w:val="both"/>
      </w:pPr>
      <w:r>
        <w:rPr>
          <w:rFonts w:ascii="Arial" w:cs="Arial" w:eastAsia="Arial" w:hAnsi="Arial"/>
          <w:b w:val="false"/>
          <w:bCs w:val="false"/>
          <w:i w:val="false"/>
          <w:iCs w:val="false"/>
          <w:color w:val="222222"/>
          <w:sz w:val="22"/>
          <w:szCs w:val="22"/>
        </w:rPr>
        <w:t xml:space="preserve">An investment in ReGenAmericana carries substantial risk. Founding Patrons should carefully consider the following before investing:</w:t>
      </w:r>
    </w:p>
    <w:p>
      <w:pPr>
        <w:spacing w:after="0" w:before="80"/>
      </w:pPr>
      <w:r>
        <w:t xml:space="preserve"/>
      </w:r>
    </w:p>
    <w:p>
      <w:pPr>
        <w:pStyle w:val="ListParagraph"/>
        <w:numPr>
          <w:ilvl w:val="0"/>
          <w:numId w:val="2"/>
        </w:numPr>
        <w:spacing w:after="60" w:before="60"/>
      </w:pPr>
      <w:r>
        <w:rPr>
          <w:rFonts w:ascii="Arial" w:cs="Arial" w:eastAsia="Arial" w:hAnsi="Arial"/>
          <w:color w:val="333333"/>
          <w:sz w:val="22"/>
          <w:szCs w:val="22"/>
        </w:rPr>
        <w:t xml:space="preserve">Grant uncertainty: The Pennsylvania Agriculture Innovation Grant has been submitted but not awarded. There is no guarantee of award. If the grant is not awarded, the $905,416 will be raised from investors under the same Founding Patron terms as the primary raise, bringing the total raise to $2,655,416. The project is structured to execute under either outcome.</w:t>
      </w:r>
    </w:p>
    <w:p>
      <w:pPr>
        <w:pStyle w:val="ListParagraph"/>
        <w:numPr>
          <w:ilvl w:val="0"/>
          <w:numId w:val="2"/>
        </w:numPr>
        <w:spacing w:after="60" w:before="60"/>
      </w:pPr>
      <w:r>
        <w:rPr>
          <w:rFonts w:ascii="Arial" w:cs="Arial" w:eastAsia="Arial" w:hAnsi="Arial"/>
          <w:color w:val="333333"/>
          <w:sz w:val="22"/>
          <w:szCs w:val="22"/>
        </w:rPr>
        <w:t xml:space="preserve">Early-stage company: ReGenAmericana is a pre-revenue company. Royalty income depends on achieving commercial sales, which is not guaranteed.</w:t>
      </w:r>
    </w:p>
    <w:p>
      <w:pPr>
        <w:pStyle w:val="ListParagraph"/>
        <w:numPr>
          <w:ilvl w:val="0"/>
          <w:numId w:val="2"/>
        </w:numPr>
        <w:spacing w:after="60" w:before="60"/>
      </w:pPr>
      <w:r>
        <w:rPr>
          <w:rFonts w:ascii="Arial" w:cs="Arial" w:eastAsia="Arial" w:hAnsi="Arial"/>
          <w:color w:val="333333"/>
          <w:sz w:val="22"/>
          <w:szCs w:val="22"/>
        </w:rPr>
        <w:t xml:space="preserve">Market adoption: Biological soil amendments face adoption barriers including farmer education, trial risk, and competition from established synthetic input suppliers.</w:t>
      </w:r>
    </w:p>
    <w:p>
      <w:pPr>
        <w:pStyle w:val="ListParagraph"/>
        <w:numPr>
          <w:ilvl w:val="0"/>
          <w:numId w:val="2"/>
        </w:numPr>
        <w:spacing w:after="60" w:before="60"/>
      </w:pPr>
      <w:r>
        <w:rPr>
          <w:rFonts w:ascii="Arial" w:cs="Arial" w:eastAsia="Arial" w:hAnsi="Arial"/>
          <w:color w:val="333333"/>
          <w:sz w:val="22"/>
          <w:szCs w:val="22"/>
        </w:rPr>
        <w:t xml:space="preserve">Royalty return is not guaranteed: The revenue-based royalty structure means investor returns depend entirely on company revenue performance. No minimum return is promised.</w:t>
      </w:r>
    </w:p>
    <w:p>
      <w:pPr>
        <w:pStyle w:val="ListParagraph"/>
        <w:numPr>
          <w:ilvl w:val="0"/>
          <w:numId w:val="2"/>
        </w:numPr>
        <w:spacing w:after="60" w:before="60"/>
      </w:pPr>
      <w:r>
        <w:rPr>
          <w:rFonts w:ascii="Arial" w:cs="Arial" w:eastAsia="Arial" w:hAnsi="Arial"/>
          <w:color w:val="333333"/>
          <w:sz w:val="22"/>
          <w:szCs w:val="22"/>
        </w:rPr>
        <w:t xml:space="preserve">Illiquidity: Revenue Participation Certificates are not publicly traded and may not be readily transferable. Investors should expect their capital to be committed for a multi-year period.</w:t>
      </w:r>
    </w:p>
    <w:p>
      <w:pPr>
        <w:pStyle w:val="ListParagraph"/>
        <w:numPr>
          <w:ilvl w:val="0"/>
          <w:numId w:val="2"/>
        </w:numPr>
        <w:spacing w:after="60" w:before="60"/>
      </w:pPr>
      <w:r>
        <w:rPr>
          <w:rFonts w:ascii="Arial" w:cs="Arial" w:eastAsia="Arial" w:hAnsi="Arial"/>
          <w:color w:val="333333"/>
          <w:sz w:val="22"/>
          <w:szCs w:val="22"/>
        </w:rPr>
        <w:t xml:space="preserve">Regulatory and securities compliance: This memorandum is a framework document. Final offering documents require attorney review and appropriate Reg D compliance. This document does not constitute a legal offer of securities.</w:t>
      </w:r>
    </w:p>
    <w:p>
      <w:pPr>
        <w:pStyle w:val="ListParagraph"/>
        <w:numPr>
          <w:ilvl w:val="0"/>
          <w:numId w:val="2"/>
        </w:numPr>
        <w:spacing w:after="60" w:before="60"/>
      </w:pPr>
      <w:r>
        <w:rPr>
          <w:rFonts w:ascii="Arial" w:cs="Arial" w:eastAsia="Arial" w:hAnsi="Arial"/>
          <w:color w:val="333333"/>
          <w:sz w:val="22"/>
          <w:szCs w:val="22"/>
        </w:rPr>
        <w:t xml:space="preserve">Key person risk: The company is currently dependent on the leadership of Jeffrey Wallin and Sarah L. Snyder.</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EDD6" w:val="clear"/>
            <w:tcMar>
              <w:top w:type="dxa" w:w="100"/>
              <w:left w:type="dxa" w:w="200"/>
              <w:bottom w:type="dxa" w:w="60"/>
              <w:right w:type="dxa" w:w="200"/>
            </w:tcMar>
          </w:tcPr>
          <w:p>
            <w:r>
              <w:rPr>
                <w:rFonts w:ascii="Arial" w:cs="Arial" w:eastAsia="Arial" w:hAnsi="Arial"/>
                <w:b/>
                <w:bCs/>
                <w:color w:val="8B6914"/>
                <w:sz w:val="22"/>
                <w:szCs w:val="22"/>
              </w:rPr>
              <w:t xml:space="preserve">Attorney Review Notice</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This Offering Memorandum is a framework document only. It has not been reviewed by legal counsel.</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Prior to any investment, both parties should seek independent legal and financial advice.</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This document may implicate federal and Pennsylvania securities laws, including Regulation D exemptions</w:t>
            </w:r>
          </w:p>
        </w:tc>
      </w:tr>
      <w:tr>
        <w:tc>
          <w:tcPr>
            <w:tcW w:type="dxa" w:w="9360"/>
            <w:tcBorders>
              <w:top w:val="none" w:color="FFFFFF" w:sz="0"/>
              <w:left w:val="none" w:color="FFFFFF" w:sz="0"/>
              <w:bottom w:val="none" w:color="FFFFFF" w:sz="0"/>
              <w:right w:val="none" w:color="FFFFFF" w:sz="0"/>
            </w:tcBorders>
            <w:shd w:fill="F5EDD6" w:val="clear"/>
            <w:tcMar>
              <w:top w:type="dxa" w:w="40"/>
              <w:left w:type="dxa" w:w="200"/>
              <w:bottom w:type="dxa" w:w="40"/>
              <w:right w:type="dxa" w:w="200"/>
            </w:tcMar>
          </w:tcPr>
          <w:p>
            <w:r>
              <w:rPr>
                <w:rFonts w:ascii="Arial" w:cs="Arial" w:eastAsia="Arial" w:hAnsi="Arial"/>
                <w:color w:val="333333"/>
                <w:sz w:val="21"/>
                <w:szCs w:val="21"/>
              </w:rPr>
              <w:t xml:space="preserve">and accredited investor requirements. Nothing herein constitutes legal, tax, or investment advice.</w:t>
            </w:r>
          </w:p>
        </w:tc>
      </w:tr>
    </w:tbl>
    <w:p>
      <w:r>
        <w:br w:type="page"/>
      </w:r>
    </w:p>
    <w:p>
      <w:pPr>
        <w:pStyle w:val="Heading1"/>
        <w:pBdr>
          <w:bottom w:val="single" w:color="2E7D4F" w:sz="6" w:space="6"/>
        </w:pBdr>
        <w:spacing w:after="160" w:before="360"/>
      </w:pPr>
      <w:r>
        <w:rPr>
          <w:rFonts w:ascii="Arial" w:cs="Arial" w:eastAsia="Arial" w:hAnsi="Arial"/>
          <w:b/>
          <w:bCs/>
          <w:color w:val="1A4D2E"/>
          <w:sz w:val="28"/>
          <w:szCs w:val="28"/>
        </w:rPr>
        <w:t xml:space="preserve">VIII.  A Final Word</w:t>
      </w:r>
    </w:p>
    <w:p>
      <w:pPr>
        <w:spacing w:after="100" w:before="80"/>
        <w:jc w:val="both"/>
      </w:pPr>
      <w:r>
        <w:rPr>
          <w:rFonts w:ascii="Arial" w:cs="Arial" w:eastAsia="Arial" w:hAnsi="Arial"/>
          <w:b w:val="false"/>
          <w:bCs w:val="false"/>
          <w:i w:val="false"/>
          <w:iCs w:val="false"/>
          <w:color w:val="222222"/>
          <w:sz w:val="22"/>
          <w:szCs w:val="22"/>
        </w:rPr>
        <w:t xml:space="preserve">We are asking you to be first. Not to follow a trend, not to join a movement after it has been proven safe, but to stand at the beginning of something and say: I believe this is worth doing, and I am willing to be part of making it real.</w:t>
      </w:r>
    </w:p>
    <w:p>
      <w:pPr>
        <w:spacing w:after="0" w:before="80"/>
      </w:pPr>
      <w:r>
        <w:t xml:space="preserve"/>
      </w:r>
    </w:p>
    <w:p>
      <w:pPr>
        <w:spacing w:after="100" w:before="80"/>
        <w:jc w:val="both"/>
      </w:pPr>
      <w:r>
        <w:rPr>
          <w:rFonts w:ascii="Arial" w:cs="Arial" w:eastAsia="Arial" w:hAnsi="Arial"/>
          <w:b w:val="false"/>
          <w:bCs w:val="false"/>
          <w:i w:val="false"/>
          <w:iCs w:val="false"/>
          <w:color w:val="222222"/>
          <w:sz w:val="22"/>
          <w:szCs w:val="22"/>
        </w:rPr>
        <w:t xml:space="preserve">The soil is the beginning of everything we eat. What we do to it, we do to ourselves — to our neighbors, to the children who will farm this land after us, to the water that runs through Chester County into the Brandywine and beyond. ReGenAmericana exists because that truth deserves a serious, scaled, economically viable response.</w:t>
      </w:r>
    </w:p>
    <w:p>
      <w:pPr>
        <w:spacing w:after="0" w:before="80"/>
      </w:pPr>
      <w:r>
        <w:t xml:space="preserve"/>
      </w:r>
    </w:p>
    <w:p>
      <w:pPr>
        <w:spacing w:after="100" w:before="80"/>
        <w:jc w:val="both"/>
      </w:pPr>
      <w:r>
        <w:rPr>
          <w:rFonts w:ascii="Arial" w:cs="Arial" w:eastAsia="Arial" w:hAnsi="Arial"/>
          <w:b w:val="false"/>
          <w:bCs w:val="false"/>
          <w:i w:val="false"/>
          <w:iCs w:val="false"/>
          <w:color w:val="222222"/>
          <w:sz w:val="22"/>
          <w:szCs w:val="22"/>
        </w:rPr>
        <w:t xml:space="preserve">C-Change works. The trials are real. The supply chain is built. The facility is operational. The grant is submitted. The team is committed — two years of unpaid work is its own kind of proof.</w:t>
      </w:r>
    </w:p>
    <w:p>
      <w:pPr>
        <w:spacing w:after="0" w:before="80"/>
      </w:pPr>
      <w:r>
        <w:t xml:space="preserve"/>
      </w:r>
    </w:p>
    <w:p>
      <w:pPr>
        <w:spacing w:after="100" w:before="80"/>
        <w:jc w:val="both"/>
      </w:pPr>
      <w:r>
        <w:rPr>
          <w:rFonts w:ascii="Arial" w:cs="Arial" w:eastAsia="Arial" w:hAnsi="Arial"/>
          <w:b w:val="false"/>
          <w:bCs w:val="false"/>
          <w:i w:val="false"/>
          <w:iCs w:val="false"/>
          <w:color w:val="222222"/>
          <w:sz w:val="22"/>
          <w:szCs w:val="22"/>
        </w:rPr>
        <w:t xml:space="preserve">What we need now is the capital to move from demonstration to scale, and the partners willing to hold that vision with us through the build.</w:t>
      </w:r>
    </w:p>
    <w:p>
      <w:pPr>
        <w:spacing w:after="0" w:before="80"/>
      </w:pPr>
      <w:r>
        <w:t xml:space="preserve"/>
      </w:r>
    </w:p>
    <w:p>
      <w:pPr>
        <w:pBdr>
          <w:left w:val="single" w:color="2E7D4F" w:sz="18" w:space="12"/>
          <w:right w:val="single" w:color="2E7D4F" w:sz="18" w:space="12"/>
        </w:pBdr>
        <w:spacing w:after="240" w:before="240"/>
        <w:ind w:left="720" w:right="720"/>
        <w:jc w:val="center"/>
      </w:pPr>
      <w:r>
        <w:rPr>
          <w:rFonts w:ascii="Arial" w:cs="Arial" w:eastAsia="Arial" w:hAnsi="Arial"/>
          <w:b/>
          <w:bCs/>
          <w:i/>
          <w:iCs/>
          <w:color w:val="1A4D2E"/>
          <w:sz w:val="24"/>
          <w:szCs w:val="24"/>
        </w:rPr>
        <w:t xml:space="preserve">Founding Patrons don’t just fund what exists. They call into being what could not have existed without them.</w:t>
      </w:r>
    </w:p>
    <w:p>
      <w:pPr>
        <w:spacing w:after="0" w:before="120"/>
      </w:pPr>
      <w:r>
        <w:t xml:space="preserve"/>
      </w:r>
    </w:p>
    <w:p>
      <w:pPr>
        <w:spacing w:after="100" w:before="80"/>
        <w:jc w:val="both"/>
      </w:pPr>
      <w:r>
        <w:rPr>
          <w:rFonts w:ascii="Arial" w:cs="Arial" w:eastAsia="Arial" w:hAnsi="Arial"/>
          <w:b w:val="false"/>
          <w:bCs w:val="false"/>
          <w:i w:val="false"/>
          <w:iCs w:val="false"/>
          <w:color w:val="222222"/>
          <w:sz w:val="22"/>
          <w:szCs w:val="22"/>
        </w:rPr>
        <w:t xml:space="preserve">To learn more or express interest in the Founding Patron Round, please contact: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Sarah L. Snyder, Chief Executive Officer</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ReGenAmericana, LLC</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sarah@ReGenAmericana.com  |  215-370-3017</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ReGenAmericana.com</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Jeffrey Wallin, Founder &amp; Managing Member</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ReGenAmericana, LLC</w:t>
            </w:r>
          </w:p>
        </w:tc>
      </w:tr>
      <w:tr>
        <w:tc>
          <w:tcPr>
            <w:tcW w:type="dxa" w:w="9360"/>
            <w:tcBorders>
              <w:top w:val="none" w:color="FFFFFF" w:sz="0"/>
              <w:left w:val="none" w:color="FFFFFF" w:sz="0"/>
              <w:bottom w:val="none" w:color="FFFFFF" w:sz="0"/>
              <w:right w:val="none" w:color="FFFFFF" w:sz="0"/>
            </w:tcBorders>
            <w:shd w:fill="D6EAD9" w:val="clear"/>
            <w:tcMar>
              <w:top w:type="dxa" w:w="40"/>
              <w:left w:type="dxa" w:w="200"/>
              <w:bottom w:type="dxa" w:w="40"/>
              <w:right w:type="dxa" w:w="200"/>
            </w:tcMar>
          </w:tcPr>
          <w:p>
            <w:r>
              <w:rPr>
                <w:rFonts w:ascii="Arial" w:cs="Arial" w:eastAsia="Arial" w:hAnsi="Arial"/>
                <w:color w:val="333333"/>
                <w:sz w:val="21"/>
                <w:szCs w:val="21"/>
              </w:rPr>
              <w:t xml:space="preserve">Chester County, Pennsylvania</w:t>
            </w:r>
          </w:p>
        </w:tc>
      </w:tr>
    </w:tbl>
    <w:p>
      <w:pPr>
        <w:spacing w:after="0" w:before="120"/>
      </w:pPr>
      <w:r>
        <w:t xml:space="preserve"/>
      </w:r>
    </w:p>
    <w:p>
      <w:pPr>
        <w:spacing w:after="0" w:before="0"/>
        <w:jc w:val="center"/>
      </w:pPr>
      <w:r>
        <w:rPr>
          <w:rFonts w:ascii="Arial" w:cs="Arial" w:eastAsia="Arial" w:hAnsi="Arial"/>
          <w:i/>
          <w:iCs/>
          <w:color w:val="1A4D2E"/>
          <w:sz w:val="20"/>
          <w:szCs w:val="20"/>
        </w:rPr>
        <w:t xml:space="preserve">ReGenAmericana  •  An American Soil Company</w:t>
      </w:r>
    </w:p>
    <w:p>
      <w:pPr>
        <w:spacing w:after="0" w:before="40"/>
        <w:jc w:val="center"/>
      </w:pPr>
      <w:r>
        <w:rPr>
          <w:rFonts w:ascii="Arial" w:cs="Arial" w:eastAsia="Arial" w:hAnsi="Arial"/>
          <w:color w:val="666666"/>
          <w:sz w:val="18"/>
          <w:szCs w:val="18"/>
        </w:rPr>
        <w:t xml:space="preserve">Chester County, Pennsylvania</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D4F" w:sz="4" w:space="4"/>
      </w:pBdr>
      <w:tabs>
        <w:tab w:val="right" w:pos="9026"/>
      </w:tabs>
      <w:spacing w:before="0"/>
    </w:pPr>
    <w:r>
      <w:rPr>
        <w:rFonts w:ascii="Arial" w:cs="Arial" w:eastAsia="Arial" w:hAnsi="Arial"/>
        <w:color w:val="666666"/>
        <w:sz w:val="16"/>
        <w:szCs w:val="16"/>
      </w:rPr>
      <w:t xml:space="preserve">ReGenAmericana, LLC  •  Chester County, Pennsylvania  •  ReGenAmericana.com</w:t>
    </w:r>
    <w:r>
      <w:rPr>
        <w:rFonts w:ascii="Arial" w:cs="Arial" w:eastAsia="Arial" w:hAnsi="Arial"/>
        <w:color w:val="666666"/>
        <w:sz w:val="16"/>
        <w:szCs w:val="16"/>
      </w:rPr>
      <w:t xml:space="preserve">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D4F" w:sz="6" w:space="4"/>
      </w:pBdr>
      <w:tabs>
        <w:tab w:val="right" w:pos="9026"/>
      </w:tabs>
      <w:spacing w:after="0"/>
    </w:pPr>
    <w:r>
      <w:rPr>
        <w:rFonts w:ascii="Arial" w:cs="Arial" w:eastAsia="Arial" w:hAnsi="Arial"/>
        <w:color w:val="666666"/>
        <w:sz w:val="18"/>
        <w:szCs w:val="18"/>
      </w:rPr>
      <w:t xml:space="preserve">ReGenAmericana  •  Founding Patron Capital Round</w:t>
    </w:r>
    <w:r>
      <w:rPr>
        <w:rFonts w:ascii="Arial" w:cs="Arial" w:eastAsia="Arial" w:hAnsi="Arial"/>
        <w:b/>
        <w:bCs/>
        <w:color w:val="8B6914"/>
        <w:sz w:val="18"/>
        <w:szCs w:val="18"/>
      </w:rPr>
      <w:t xml:space="preserve">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A4D2E"/>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2026-04-20T19:04:29.619Z</dcterms:created>
  <dcterms:modified xsi:type="dcterms:W3CDTF">2026-04-20T19:04:29.621Z</dcterms:modified>
</cp:coreProperties>
</file>

<file path=docProps/custom.xml><?xml version="1.0" encoding="utf-8"?>
<Properties xmlns="http://schemas.openxmlformats.org/officeDocument/2006/custom-properties" xmlns:vt="http://schemas.openxmlformats.org/officeDocument/2006/docPropsVTypes"/>
</file>